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71" w:rsidRPr="000F1271" w:rsidRDefault="000F1271" w:rsidP="000F1271">
      <w:pPr>
        <w:spacing w:after="0" w:line="240" w:lineRule="auto"/>
        <w:jc w:val="center"/>
        <w:rPr>
          <w:rFonts w:ascii="Times New Roman" w:hAnsi="Times New Roman"/>
          <w:b/>
          <w:sz w:val="48"/>
          <w:szCs w:val="48"/>
        </w:rPr>
      </w:pPr>
      <w:r w:rsidRPr="000F1271">
        <w:rPr>
          <w:rFonts w:ascii="Times New Roman" w:hAnsi="Times New Roman"/>
          <w:b/>
          <w:sz w:val="48"/>
          <w:szCs w:val="48"/>
        </w:rPr>
        <w:t xml:space="preserve">Evaluation Report </w:t>
      </w:r>
      <w:r>
        <w:rPr>
          <w:rFonts w:ascii="Times New Roman" w:hAnsi="Times New Roman"/>
          <w:b/>
          <w:sz w:val="48"/>
          <w:szCs w:val="48"/>
        </w:rPr>
        <w:t>o</w:t>
      </w:r>
      <w:r w:rsidRPr="000F1271">
        <w:rPr>
          <w:rFonts w:ascii="Times New Roman" w:hAnsi="Times New Roman"/>
          <w:b/>
          <w:sz w:val="48"/>
          <w:szCs w:val="48"/>
        </w:rPr>
        <w:t xml:space="preserve">f Compliance </w:t>
      </w:r>
      <w:r>
        <w:rPr>
          <w:rFonts w:ascii="Times New Roman" w:hAnsi="Times New Roman"/>
          <w:b/>
          <w:sz w:val="48"/>
          <w:szCs w:val="48"/>
        </w:rPr>
        <w:t>t</w:t>
      </w:r>
      <w:r w:rsidRPr="000F1271">
        <w:rPr>
          <w:rFonts w:ascii="Times New Roman" w:hAnsi="Times New Roman"/>
          <w:b/>
          <w:sz w:val="48"/>
          <w:szCs w:val="48"/>
        </w:rPr>
        <w:t xml:space="preserve">o Provisions </w:t>
      </w:r>
      <w:r>
        <w:rPr>
          <w:rFonts w:ascii="Times New Roman" w:hAnsi="Times New Roman"/>
          <w:b/>
          <w:sz w:val="48"/>
          <w:szCs w:val="48"/>
        </w:rPr>
        <w:t>o</w:t>
      </w:r>
      <w:r w:rsidRPr="000F1271">
        <w:rPr>
          <w:rFonts w:ascii="Times New Roman" w:hAnsi="Times New Roman"/>
          <w:b/>
          <w:sz w:val="48"/>
          <w:szCs w:val="48"/>
        </w:rPr>
        <w:t xml:space="preserve">f the </w:t>
      </w:r>
      <w:r>
        <w:rPr>
          <w:rFonts w:ascii="Times New Roman" w:hAnsi="Times New Roman"/>
          <w:b/>
          <w:sz w:val="48"/>
          <w:szCs w:val="48"/>
        </w:rPr>
        <w:t xml:space="preserve">Sikkim </w:t>
      </w:r>
      <w:r w:rsidRPr="000F1271">
        <w:rPr>
          <w:rFonts w:ascii="Times New Roman" w:hAnsi="Times New Roman"/>
          <w:b/>
          <w:sz w:val="48"/>
          <w:szCs w:val="48"/>
        </w:rPr>
        <w:t>F</w:t>
      </w:r>
      <w:r>
        <w:rPr>
          <w:rFonts w:ascii="Times New Roman" w:hAnsi="Times New Roman"/>
          <w:b/>
          <w:sz w:val="48"/>
          <w:szCs w:val="48"/>
        </w:rPr>
        <w:t xml:space="preserve">RBM </w:t>
      </w:r>
      <w:r w:rsidRPr="000F1271">
        <w:rPr>
          <w:rFonts w:ascii="Times New Roman" w:hAnsi="Times New Roman"/>
          <w:b/>
          <w:sz w:val="48"/>
          <w:szCs w:val="48"/>
        </w:rPr>
        <w:t>Act</w:t>
      </w:r>
      <w:r w:rsidR="00ED6302">
        <w:rPr>
          <w:rFonts w:ascii="Times New Roman" w:hAnsi="Times New Roman"/>
          <w:b/>
          <w:sz w:val="48"/>
          <w:szCs w:val="48"/>
        </w:rPr>
        <w:t>:</w:t>
      </w:r>
    </w:p>
    <w:p w:rsidR="00066F28" w:rsidRDefault="000F1271" w:rsidP="000F1271">
      <w:pPr>
        <w:spacing w:after="0" w:line="240" w:lineRule="auto"/>
        <w:jc w:val="center"/>
        <w:rPr>
          <w:rFonts w:ascii="Times New Roman" w:hAnsi="Times New Roman"/>
          <w:b/>
          <w:sz w:val="28"/>
          <w:szCs w:val="28"/>
        </w:rPr>
      </w:pPr>
      <w:r>
        <w:rPr>
          <w:rFonts w:ascii="Times New Roman" w:hAnsi="Times New Roman"/>
          <w:b/>
          <w:sz w:val="48"/>
          <w:szCs w:val="48"/>
        </w:rPr>
        <w:t>Fiscal Year</w:t>
      </w:r>
      <w:r w:rsidRPr="000F1271">
        <w:rPr>
          <w:rFonts w:ascii="Times New Roman" w:hAnsi="Times New Roman"/>
          <w:b/>
          <w:sz w:val="48"/>
          <w:szCs w:val="48"/>
        </w:rPr>
        <w:t xml:space="preserve"> 201</w:t>
      </w:r>
      <w:r w:rsidR="00CC42F1">
        <w:rPr>
          <w:rFonts w:ascii="Times New Roman" w:hAnsi="Times New Roman"/>
          <w:b/>
          <w:sz w:val="48"/>
          <w:szCs w:val="48"/>
        </w:rPr>
        <w:t>9</w:t>
      </w:r>
      <w:r w:rsidRPr="000F1271">
        <w:rPr>
          <w:rFonts w:ascii="Times New Roman" w:hAnsi="Times New Roman"/>
          <w:b/>
          <w:sz w:val="48"/>
          <w:szCs w:val="48"/>
        </w:rPr>
        <w:t>-</w:t>
      </w:r>
      <w:r w:rsidR="00CC42F1">
        <w:rPr>
          <w:rFonts w:ascii="Times New Roman" w:hAnsi="Times New Roman"/>
          <w:b/>
          <w:sz w:val="48"/>
          <w:szCs w:val="48"/>
        </w:rPr>
        <w:t>20</w:t>
      </w:r>
    </w:p>
    <w:p w:rsidR="00066F28" w:rsidRDefault="00066F28" w:rsidP="00066F28">
      <w:pPr>
        <w:spacing w:after="0" w:line="360" w:lineRule="auto"/>
        <w:jc w:val="center"/>
        <w:rPr>
          <w:rFonts w:ascii="Times New Roman" w:hAnsi="Times New Roman"/>
          <w:b/>
          <w:sz w:val="28"/>
          <w:szCs w:val="28"/>
        </w:rPr>
      </w:pPr>
    </w:p>
    <w:p w:rsidR="00066F28" w:rsidRDefault="00066F28" w:rsidP="00066F28">
      <w:pPr>
        <w:spacing w:after="0" w:line="360" w:lineRule="auto"/>
        <w:jc w:val="center"/>
        <w:rPr>
          <w:rFonts w:ascii="Times New Roman" w:hAnsi="Times New Roman"/>
          <w:b/>
          <w:sz w:val="28"/>
          <w:szCs w:val="28"/>
        </w:rPr>
      </w:pPr>
    </w:p>
    <w:p w:rsidR="00066F28" w:rsidRDefault="00066F28" w:rsidP="00066F28">
      <w:pPr>
        <w:spacing w:after="0" w:line="360" w:lineRule="auto"/>
        <w:jc w:val="center"/>
        <w:rPr>
          <w:rFonts w:ascii="Times New Roman" w:hAnsi="Times New Roman"/>
          <w:b/>
          <w:sz w:val="28"/>
          <w:szCs w:val="28"/>
        </w:rPr>
      </w:pPr>
    </w:p>
    <w:p w:rsidR="00066F28" w:rsidRDefault="00066F28" w:rsidP="00066F28">
      <w:pPr>
        <w:spacing w:after="0" w:line="360" w:lineRule="auto"/>
        <w:jc w:val="center"/>
        <w:rPr>
          <w:rFonts w:ascii="Times New Roman" w:hAnsi="Times New Roman"/>
          <w:b/>
          <w:sz w:val="28"/>
          <w:szCs w:val="28"/>
        </w:rPr>
      </w:pPr>
    </w:p>
    <w:p w:rsidR="00066F28" w:rsidRDefault="00066F28" w:rsidP="00066F28">
      <w:pPr>
        <w:spacing w:after="0" w:line="360" w:lineRule="auto"/>
        <w:jc w:val="center"/>
        <w:rPr>
          <w:rFonts w:ascii="Times New Roman" w:hAnsi="Times New Roman"/>
          <w:b/>
          <w:sz w:val="28"/>
          <w:szCs w:val="28"/>
        </w:rPr>
      </w:pPr>
    </w:p>
    <w:p w:rsidR="00066F28" w:rsidRDefault="00066F28" w:rsidP="00066F28">
      <w:pPr>
        <w:spacing w:after="0" w:line="360" w:lineRule="auto"/>
        <w:jc w:val="center"/>
        <w:rPr>
          <w:rFonts w:ascii="Times New Roman" w:hAnsi="Times New Roman"/>
          <w:b/>
          <w:sz w:val="28"/>
          <w:szCs w:val="28"/>
        </w:rPr>
      </w:pPr>
    </w:p>
    <w:p w:rsidR="001E59D7" w:rsidRPr="000F1271" w:rsidRDefault="001E59D7" w:rsidP="001E59D7">
      <w:pPr>
        <w:spacing w:after="0" w:line="360" w:lineRule="auto"/>
        <w:jc w:val="center"/>
        <w:rPr>
          <w:rFonts w:ascii="Times New Roman" w:hAnsi="Times New Roman"/>
          <w:b/>
          <w:sz w:val="36"/>
          <w:szCs w:val="36"/>
        </w:rPr>
      </w:pPr>
      <w:r w:rsidRPr="000F1271">
        <w:rPr>
          <w:rFonts w:ascii="Times New Roman" w:hAnsi="Times New Roman"/>
          <w:b/>
          <w:sz w:val="36"/>
          <w:szCs w:val="36"/>
        </w:rPr>
        <w:t>Pratap Ranjan Jena</w:t>
      </w:r>
    </w:p>
    <w:p w:rsidR="00066F28" w:rsidRDefault="00066F28" w:rsidP="00066F28">
      <w:pPr>
        <w:spacing w:after="0" w:line="360" w:lineRule="auto"/>
        <w:jc w:val="center"/>
        <w:rPr>
          <w:rFonts w:ascii="Times New Roman" w:hAnsi="Times New Roman"/>
          <w:b/>
          <w:sz w:val="36"/>
          <w:szCs w:val="36"/>
        </w:rPr>
      </w:pPr>
    </w:p>
    <w:p w:rsidR="00135EB9" w:rsidRDefault="00135EB9" w:rsidP="00066F28">
      <w:pPr>
        <w:spacing w:after="0" w:line="360" w:lineRule="auto"/>
        <w:jc w:val="center"/>
        <w:rPr>
          <w:rFonts w:ascii="Times New Roman" w:hAnsi="Times New Roman"/>
          <w:b/>
          <w:sz w:val="36"/>
          <w:szCs w:val="36"/>
        </w:rPr>
      </w:pPr>
    </w:p>
    <w:p w:rsidR="00135EB9" w:rsidRDefault="00135EB9" w:rsidP="00066F28">
      <w:pPr>
        <w:spacing w:after="0" w:line="360" w:lineRule="auto"/>
        <w:jc w:val="center"/>
        <w:rPr>
          <w:rFonts w:ascii="Times New Roman" w:hAnsi="Times New Roman"/>
          <w:b/>
          <w:sz w:val="36"/>
          <w:szCs w:val="36"/>
        </w:rPr>
      </w:pPr>
    </w:p>
    <w:p w:rsidR="00135EB9" w:rsidRDefault="00135EB9" w:rsidP="00066F28">
      <w:pPr>
        <w:spacing w:after="0" w:line="360" w:lineRule="auto"/>
        <w:jc w:val="center"/>
        <w:rPr>
          <w:rFonts w:ascii="Times New Roman" w:hAnsi="Times New Roman"/>
          <w:b/>
          <w:sz w:val="36"/>
          <w:szCs w:val="36"/>
        </w:rPr>
      </w:pPr>
    </w:p>
    <w:p w:rsidR="00135EB9" w:rsidRDefault="00135EB9" w:rsidP="00066F28">
      <w:pPr>
        <w:spacing w:after="0" w:line="360" w:lineRule="auto"/>
        <w:jc w:val="center"/>
        <w:rPr>
          <w:rFonts w:ascii="Times New Roman" w:hAnsi="Times New Roman"/>
          <w:b/>
          <w:sz w:val="36"/>
          <w:szCs w:val="36"/>
        </w:rPr>
      </w:pPr>
    </w:p>
    <w:p w:rsidR="00135EB9" w:rsidRPr="000F1271" w:rsidRDefault="00135EB9" w:rsidP="00066F28">
      <w:pPr>
        <w:spacing w:after="0" w:line="360" w:lineRule="auto"/>
        <w:jc w:val="center"/>
        <w:rPr>
          <w:rFonts w:ascii="Times New Roman" w:hAnsi="Times New Roman"/>
          <w:b/>
          <w:sz w:val="36"/>
          <w:szCs w:val="36"/>
        </w:rPr>
      </w:pPr>
    </w:p>
    <w:p w:rsidR="00066F28" w:rsidRPr="000F1271" w:rsidRDefault="00066F28" w:rsidP="00066F28">
      <w:pPr>
        <w:spacing w:after="0" w:line="360" w:lineRule="auto"/>
        <w:jc w:val="center"/>
        <w:rPr>
          <w:rFonts w:ascii="Times New Roman" w:hAnsi="Times New Roman"/>
          <w:b/>
          <w:sz w:val="36"/>
          <w:szCs w:val="36"/>
        </w:rPr>
      </w:pPr>
      <w:r w:rsidRPr="000F1271">
        <w:rPr>
          <w:rFonts w:ascii="Times New Roman" w:hAnsi="Times New Roman"/>
          <w:b/>
          <w:sz w:val="36"/>
          <w:szCs w:val="36"/>
        </w:rPr>
        <w:t>National Institute of Public Finance and policy</w:t>
      </w:r>
    </w:p>
    <w:p w:rsidR="00066F28" w:rsidRPr="000F1271" w:rsidRDefault="00066F28" w:rsidP="00066F28">
      <w:pPr>
        <w:spacing w:after="0" w:line="360" w:lineRule="auto"/>
        <w:jc w:val="center"/>
        <w:rPr>
          <w:rFonts w:ascii="Times New Roman" w:hAnsi="Times New Roman"/>
          <w:b/>
          <w:sz w:val="36"/>
          <w:szCs w:val="36"/>
        </w:rPr>
      </w:pPr>
      <w:r w:rsidRPr="000F1271">
        <w:rPr>
          <w:rFonts w:ascii="Times New Roman" w:hAnsi="Times New Roman"/>
          <w:b/>
          <w:sz w:val="36"/>
          <w:szCs w:val="36"/>
        </w:rPr>
        <w:t>New Delhi</w:t>
      </w:r>
    </w:p>
    <w:p w:rsidR="00066F28" w:rsidRDefault="00066F28" w:rsidP="00066F28">
      <w:pPr>
        <w:spacing w:after="0" w:line="360" w:lineRule="auto"/>
        <w:jc w:val="center"/>
        <w:rPr>
          <w:rFonts w:ascii="Times New Roman" w:hAnsi="Times New Roman"/>
          <w:b/>
          <w:sz w:val="28"/>
          <w:szCs w:val="28"/>
        </w:rPr>
      </w:pPr>
    </w:p>
    <w:p w:rsidR="006F677F" w:rsidRDefault="006F677F" w:rsidP="00066F28">
      <w:pPr>
        <w:spacing w:after="0" w:line="360" w:lineRule="auto"/>
        <w:jc w:val="center"/>
        <w:rPr>
          <w:rFonts w:ascii="Times New Roman" w:hAnsi="Times New Roman"/>
          <w:b/>
          <w:sz w:val="28"/>
          <w:szCs w:val="28"/>
        </w:rPr>
      </w:pPr>
    </w:p>
    <w:p w:rsidR="006F677F" w:rsidRDefault="006F677F" w:rsidP="00066F28">
      <w:pPr>
        <w:spacing w:after="0" w:line="360" w:lineRule="auto"/>
        <w:jc w:val="center"/>
        <w:rPr>
          <w:rFonts w:ascii="Times New Roman" w:hAnsi="Times New Roman"/>
          <w:b/>
          <w:sz w:val="28"/>
          <w:szCs w:val="28"/>
        </w:rPr>
      </w:pPr>
    </w:p>
    <w:p w:rsidR="006F677F" w:rsidRDefault="006F677F"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066F28">
      <w:pPr>
        <w:spacing w:after="0" w:line="360" w:lineRule="auto"/>
        <w:jc w:val="center"/>
        <w:rPr>
          <w:rFonts w:ascii="Times New Roman" w:hAnsi="Times New Roman"/>
          <w:b/>
          <w:sz w:val="28"/>
          <w:szCs w:val="28"/>
        </w:rPr>
      </w:pPr>
    </w:p>
    <w:p w:rsidR="00ED6302" w:rsidRDefault="00ED6302" w:rsidP="00EB65A3">
      <w:pPr>
        <w:spacing w:after="0" w:line="240" w:lineRule="auto"/>
        <w:contextualSpacing/>
        <w:jc w:val="both"/>
        <w:rPr>
          <w:rFonts w:ascii="Times New Roman" w:eastAsiaTheme="majorEastAsia" w:hAnsi="Times New Roman"/>
          <w:b/>
          <w:bCs/>
          <w:spacing w:val="-10"/>
          <w:kern w:val="28"/>
          <w:sz w:val="48"/>
          <w:szCs w:val="48"/>
        </w:rPr>
      </w:pPr>
    </w:p>
    <w:p w:rsidR="00EB65A3" w:rsidRDefault="00EB65A3" w:rsidP="00135EB9">
      <w:pPr>
        <w:spacing w:after="0" w:line="240" w:lineRule="auto"/>
        <w:contextualSpacing/>
        <w:jc w:val="center"/>
        <w:rPr>
          <w:rFonts w:ascii="Times New Roman" w:eastAsiaTheme="majorEastAsia" w:hAnsi="Times New Roman"/>
          <w:b/>
          <w:bCs/>
          <w:spacing w:val="-10"/>
          <w:kern w:val="28"/>
          <w:sz w:val="48"/>
          <w:szCs w:val="48"/>
        </w:rPr>
      </w:pPr>
      <w:r w:rsidRPr="00EB65A3">
        <w:rPr>
          <w:rFonts w:ascii="Times New Roman" w:eastAsiaTheme="majorEastAsia" w:hAnsi="Times New Roman"/>
          <w:b/>
          <w:bCs/>
          <w:spacing w:val="-10"/>
          <w:kern w:val="28"/>
          <w:sz w:val="48"/>
          <w:szCs w:val="48"/>
        </w:rPr>
        <w:t>Contents</w:t>
      </w:r>
    </w:p>
    <w:p w:rsidR="00135EB9" w:rsidRPr="00EB65A3" w:rsidRDefault="00135EB9" w:rsidP="00135EB9">
      <w:pPr>
        <w:spacing w:after="0" w:line="240" w:lineRule="auto"/>
        <w:contextualSpacing/>
        <w:jc w:val="center"/>
        <w:rPr>
          <w:rFonts w:ascii="Times New Roman" w:eastAsiaTheme="majorEastAsia" w:hAnsi="Times New Roman"/>
          <w:b/>
          <w:bCs/>
          <w:spacing w:val="-10"/>
          <w:kern w:val="28"/>
          <w:sz w:val="48"/>
          <w:szCs w:val="48"/>
        </w:rPr>
      </w:pPr>
    </w:p>
    <w:p w:rsidR="00EB65A3" w:rsidRPr="00135EB9" w:rsidRDefault="00EB65A3" w:rsidP="00EB65A3">
      <w:pPr>
        <w:spacing w:after="0" w:line="240" w:lineRule="auto"/>
        <w:rPr>
          <w:rFonts w:ascii="Times New Roman" w:eastAsia="Times New Roman" w:hAnsi="Times New Roman"/>
          <w:sz w:val="24"/>
          <w:szCs w:val="24"/>
        </w:rPr>
      </w:pPr>
    </w:p>
    <w:p w:rsidR="00EB65A3" w:rsidRPr="00135EB9" w:rsidRDefault="00EE2CAF" w:rsidP="00EB65A3">
      <w:pPr>
        <w:numPr>
          <w:ilvl w:val="0"/>
          <w:numId w:val="15"/>
        </w:numPr>
        <w:spacing w:after="0" w:line="360" w:lineRule="auto"/>
        <w:contextualSpacing/>
        <w:jc w:val="both"/>
        <w:rPr>
          <w:rFonts w:ascii="Times New Roman" w:eastAsia="Times New Roman" w:hAnsi="Times New Roman"/>
          <w:sz w:val="24"/>
          <w:szCs w:val="24"/>
        </w:rPr>
      </w:pPr>
      <w:r w:rsidRPr="00135EB9">
        <w:rPr>
          <w:rFonts w:ascii="Times New Roman" w:eastAsia="Times New Roman" w:hAnsi="Times New Roman"/>
          <w:sz w:val="24"/>
          <w:szCs w:val="24"/>
        </w:rPr>
        <w:t xml:space="preserve">Introduction: </w:t>
      </w:r>
      <w:r w:rsidR="00EB65A3" w:rsidRPr="00135EB9">
        <w:rPr>
          <w:rFonts w:ascii="Times New Roman" w:eastAsia="Times New Roman" w:hAnsi="Times New Roman"/>
          <w:sz w:val="24"/>
          <w:szCs w:val="24"/>
        </w:rPr>
        <w:t>Objectives and Approach</w:t>
      </w:r>
      <w:r w:rsidR="00ED6302" w:rsidRPr="00135EB9">
        <w:rPr>
          <w:rFonts w:ascii="Times New Roman" w:eastAsia="Times New Roman" w:hAnsi="Times New Roman"/>
          <w:sz w:val="24"/>
          <w:szCs w:val="24"/>
        </w:rPr>
        <w:t>es of the Report</w:t>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t>1</w:t>
      </w:r>
    </w:p>
    <w:p w:rsidR="00EB65A3" w:rsidRPr="00135EB9" w:rsidRDefault="00ED6302" w:rsidP="00EB65A3">
      <w:pPr>
        <w:numPr>
          <w:ilvl w:val="0"/>
          <w:numId w:val="15"/>
        </w:numPr>
        <w:spacing w:after="0" w:line="360" w:lineRule="auto"/>
        <w:contextualSpacing/>
        <w:jc w:val="both"/>
        <w:rPr>
          <w:rFonts w:ascii="Times New Roman" w:eastAsia="Times New Roman" w:hAnsi="Times New Roman"/>
          <w:sz w:val="24"/>
          <w:szCs w:val="24"/>
        </w:rPr>
      </w:pPr>
      <w:r w:rsidRPr="00135EB9">
        <w:rPr>
          <w:rFonts w:ascii="Times New Roman" w:eastAsia="Times New Roman" w:hAnsi="Times New Roman"/>
          <w:sz w:val="24"/>
          <w:szCs w:val="24"/>
        </w:rPr>
        <w:t>Overview of the State Economy</w:t>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9F58F4" w:rsidRPr="00135EB9">
        <w:rPr>
          <w:rFonts w:ascii="Times New Roman" w:eastAsia="Times New Roman" w:hAnsi="Times New Roman"/>
          <w:sz w:val="24"/>
          <w:szCs w:val="24"/>
        </w:rPr>
        <w:t>5</w:t>
      </w:r>
    </w:p>
    <w:p w:rsidR="00EB65A3" w:rsidRPr="00135EB9" w:rsidRDefault="009F58F4" w:rsidP="00EB65A3">
      <w:pPr>
        <w:numPr>
          <w:ilvl w:val="0"/>
          <w:numId w:val="15"/>
        </w:numPr>
        <w:spacing w:after="0" w:line="360" w:lineRule="auto"/>
        <w:contextualSpacing/>
        <w:jc w:val="both"/>
        <w:rPr>
          <w:rFonts w:ascii="Times New Roman" w:eastAsia="Times New Roman" w:hAnsi="Times New Roman"/>
          <w:sz w:val="24"/>
          <w:szCs w:val="24"/>
        </w:rPr>
      </w:pPr>
      <w:r w:rsidRPr="00135EB9">
        <w:rPr>
          <w:rFonts w:ascii="Times New Roman" w:eastAsia="Times New Roman" w:hAnsi="Times New Roman"/>
          <w:sz w:val="24"/>
          <w:szCs w:val="24"/>
        </w:rPr>
        <w:t>Review of State Finances of Sikkim</w:t>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r>
      <w:r w:rsidR="00EB65A3" w:rsidRPr="00135EB9">
        <w:rPr>
          <w:rFonts w:ascii="Times New Roman" w:eastAsia="Times New Roman" w:hAnsi="Times New Roman"/>
          <w:sz w:val="24"/>
          <w:szCs w:val="24"/>
        </w:rPr>
        <w:tab/>
        <w:t>1</w:t>
      </w:r>
      <w:r w:rsidRPr="00135EB9">
        <w:rPr>
          <w:rFonts w:ascii="Times New Roman" w:eastAsia="Times New Roman" w:hAnsi="Times New Roman"/>
          <w:sz w:val="24"/>
          <w:szCs w:val="24"/>
        </w:rPr>
        <w:t>0</w:t>
      </w:r>
    </w:p>
    <w:p w:rsidR="00EB65A3" w:rsidRPr="00135EB9" w:rsidRDefault="00EB65A3" w:rsidP="00EB65A3">
      <w:pPr>
        <w:numPr>
          <w:ilvl w:val="0"/>
          <w:numId w:val="15"/>
        </w:numPr>
        <w:spacing w:after="0" w:line="360" w:lineRule="auto"/>
        <w:contextualSpacing/>
        <w:jc w:val="both"/>
        <w:rPr>
          <w:rFonts w:ascii="Times New Roman" w:eastAsia="Times New Roman" w:hAnsi="Times New Roman"/>
          <w:sz w:val="24"/>
          <w:szCs w:val="24"/>
        </w:rPr>
      </w:pPr>
      <w:r w:rsidRPr="00135EB9">
        <w:rPr>
          <w:rFonts w:ascii="Times New Roman" w:eastAsia="Times New Roman" w:hAnsi="Times New Roman"/>
          <w:sz w:val="24"/>
          <w:szCs w:val="24"/>
        </w:rPr>
        <w:t>Compliance to the Provisions of FRBM Act</w:t>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009F58F4" w:rsidRPr="00135EB9">
        <w:rPr>
          <w:rFonts w:ascii="Times New Roman" w:eastAsia="Times New Roman" w:hAnsi="Times New Roman"/>
          <w:sz w:val="24"/>
          <w:szCs w:val="24"/>
        </w:rPr>
        <w:t>2</w:t>
      </w:r>
      <w:r w:rsidR="00CC2721" w:rsidRPr="00135EB9">
        <w:rPr>
          <w:rFonts w:ascii="Times New Roman" w:eastAsia="Times New Roman" w:hAnsi="Times New Roman"/>
          <w:sz w:val="24"/>
          <w:szCs w:val="24"/>
        </w:rPr>
        <w:t>5</w:t>
      </w:r>
    </w:p>
    <w:p w:rsidR="00EB65A3" w:rsidRPr="00135EB9" w:rsidRDefault="00EB65A3" w:rsidP="00EB65A3">
      <w:pPr>
        <w:numPr>
          <w:ilvl w:val="0"/>
          <w:numId w:val="15"/>
        </w:numPr>
        <w:spacing w:after="0" w:line="360" w:lineRule="auto"/>
        <w:contextualSpacing/>
        <w:jc w:val="both"/>
        <w:rPr>
          <w:rFonts w:ascii="Times New Roman" w:eastAsia="Times New Roman" w:hAnsi="Times New Roman"/>
          <w:sz w:val="24"/>
          <w:szCs w:val="24"/>
        </w:rPr>
      </w:pPr>
      <w:r w:rsidRPr="00135EB9">
        <w:rPr>
          <w:rFonts w:ascii="Times New Roman" w:eastAsia="Times New Roman" w:hAnsi="Times New Roman"/>
          <w:sz w:val="24"/>
          <w:szCs w:val="24"/>
        </w:rPr>
        <w:t>Concluding Remarks</w:t>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Pr="00135EB9">
        <w:rPr>
          <w:rFonts w:ascii="Times New Roman" w:eastAsia="Times New Roman" w:hAnsi="Times New Roman"/>
          <w:sz w:val="24"/>
          <w:szCs w:val="24"/>
        </w:rPr>
        <w:tab/>
      </w:r>
      <w:r w:rsidR="009F58F4" w:rsidRPr="00135EB9">
        <w:rPr>
          <w:rFonts w:ascii="Times New Roman" w:eastAsia="Times New Roman" w:hAnsi="Times New Roman"/>
          <w:sz w:val="24"/>
          <w:szCs w:val="24"/>
        </w:rPr>
        <w:t>4</w:t>
      </w:r>
      <w:r w:rsidR="00ED6302" w:rsidRPr="00135EB9">
        <w:rPr>
          <w:rFonts w:ascii="Times New Roman" w:eastAsia="Times New Roman" w:hAnsi="Times New Roman"/>
          <w:sz w:val="24"/>
          <w:szCs w:val="24"/>
        </w:rPr>
        <w:t>1</w:t>
      </w:r>
    </w:p>
    <w:p w:rsidR="006F677F" w:rsidRDefault="006F677F" w:rsidP="00066F28">
      <w:pPr>
        <w:spacing w:after="0" w:line="360" w:lineRule="auto"/>
        <w:jc w:val="center"/>
        <w:rPr>
          <w:rFonts w:ascii="Times New Roman" w:hAnsi="Times New Roman"/>
          <w:b/>
          <w:sz w:val="28"/>
          <w:szCs w:val="28"/>
        </w:rPr>
      </w:pPr>
    </w:p>
    <w:p w:rsidR="006F677F" w:rsidRDefault="006F677F" w:rsidP="00066F28">
      <w:pPr>
        <w:spacing w:after="0" w:line="360" w:lineRule="auto"/>
        <w:jc w:val="center"/>
        <w:rPr>
          <w:rFonts w:ascii="Times New Roman" w:hAnsi="Times New Roman"/>
          <w:b/>
          <w:sz w:val="28"/>
          <w:szCs w:val="28"/>
        </w:rPr>
      </w:pPr>
    </w:p>
    <w:p w:rsidR="006F677F" w:rsidRDefault="006F677F" w:rsidP="00066F28">
      <w:pPr>
        <w:spacing w:after="0" w:line="360" w:lineRule="auto"/>
        <w:jc w:val="center"/>
        <w:rPr>
          <w:rFonts w:ascii="Times New Roman" w:hAnsi="Times New Roman"/>
          <w:b/>
          <w:sz w:val="28"/>
          <w:szCs w:val="28"/>
        </w:rPr>
      </w:pPr>
    </w:p>
    <w:p w:rsidR="006F677F" w:rsidRDefault="006F677F" w:rsidP="00066F28">
      <w:pPr>
        <w:spacing w:after="0" w:line="360" w:lineRule="auto"/>
        <w:jc w:val="center"/>
        <w:rPr>
          <w:rFonts w:ascii="Times New Roman" w:hAnsi="Times New Roman"/>
          <w:b/>
          <w:sz w:val="28"/>
          <w:szCs w:val="28"/>
        </w:rPr>
      </w:pPr>
    </w:p>
    <w:p w:rsidR="004F0090" w:rsidRDefault="004F0090" w:rsidP="00683D58">
      <w:pPr>
        <w:spacing w:after="0" w:line="360" w:lineRule="auto"/>
        <w:jc w:val="center"/>
        <w:rPr>
          <w:rFonts w:ascii="Times New Roman" w:hAnsi="Times New Roman"/>
          <w:b/>
          <w:sz w:val="28"/>
          <w:szCs w:val="28"/>
        </w:rPr>
      </w:pPr>
    </w:p>
    <w:p w:rsidR="001E59D7" w:rsidRDefault="001E59D7" w:rsidP="00683D58">
      <w:pPr>
        <w:spacing w:after="0" w:line="360" w:lineRule="auto"/>
        <w:jc w:val="center"/>
        <w:rPr>
          <w:rFonts w:ascii="Times New Roman" w:hAnsi="Times New Roman"/>
          <w:b/>
          <w:sz w:val="28"/>
          <w:szCs w:val="28"/>
        </w:rPr>
        <w:sectPr w:rsidR="001E59D7" w:rsidSect="003E310E">
          <w:pgSz w:w="11906" w:h="16838"/>
          <w:pgMar w:top="1440" w:right="1440" w:bottom="1440" w:left="1440" w:header="708" w:footer="708" w:gutter="0"/>
          <w:pgNumType w:start="1"/>
          <w:cols w:space="708"/>
          <w:docGrid w:linePitch="360"/>
        </w:sectPr>
      </w:pPr>
    </w:p>
    <w:p w:rsidR="000F1271" w:rsidRDefault="000F1271" w:rsidP="00683D58">
      <w:pPr>
        <w:spacing w:after="0" w:line="360" w:lineRule="auto"/>
        <w:rPr>
          <w:rFonts w:ascii="Times New Roman" w:hAnsi="Times New Roman"/>
          <w:sz w:val="24"/>
          <w:szCs w:val="24"/>
        </w:rPr>
      </w:pPr>
    </w:p>
    <w:p w:rsidR="00CC42F1" w:rsidRDefault="00C713BA" w:rsidP="00CC42F1">
      <w:pPr>
        <w:pStyle w:val="ListParagraph"/>
        <w:numPr>
          <w:ilvl w:val="0"/>
          <w:numId w:val="1"/>
        </w:numPr>
        <w:spacing w:after="0" w:line="240" w:lineRule="auto"/>
        <w:jc w:val="center"/>
        <w:rPr>
          <w:rFonts w:ascii="Times New Roman" w:hAnsi="Times New Roman"/>
          <w:b/>
          <w:sz w:val="48"/>
          <w:szCs w:val="48"/>
        </w:rPr>
      </w:pPr>
      <w:r>
        <w:rPr>
          <w:rFonts w:ascii="Times New Roman" w:hAnsi="Times New Roman"/>
          <w:b/>
          <w:sz w:val="48"/>
          <w:szCs w:val="48"/>
        </w:rPr>
        <w:t xml:space="preserve"> </w:t>
      </w:r>
      <w:r w:rsidR="00683D58" w:rsidRPr="000F1271">
        <w:rPr>
          <w:rFonts w:ascii="Times New Roman" w:hAnsi="Times New Roman"/>
          <w:b/>
          <w:sz w:val="48"/>
          <w:szCs w:val="48"/>
        </w:rPr>
        <w:t>Introduction</w:t>
      </w:r>
    </w:p>
    <w:p w:rsidR="00135EB9" w:rsidRDefault="00135EB9" w:rsidP="00135EB9">
      <w:pPr>
        <w:pStyle w:val="ListParagraph"/>
        <w:spacing w:after="0" w:line="240" w:lineRule="auto"/>
        <w:ind w:left="360"/>
        <w:rPr>
          <w:rFonts w:ascii="Times New Roman" w:hAnsi="Times New Roman"/>
          <w:b/>
          <w:sz w:val="48"/>
          <w:szCs w:val="48"/>
        </w:rPr>
      </w:pPr>
    </w:p>
    <w:p w:rsidR="00683D58" w:rsidRPr="00CC42F1" w:rsidRDefault="005A420A" w:rsidP="00CC42F1">
      <w:pPr>
        <w:pStyle w:val="ListParagraph"/>
        <w:spacing w:after="0" w:line="240" w:lineRule="auto"/>
        <w:ind w:left="360"/>
        <w:jc w:val="center"/>
        <w:rPr>
          <w:rFonts w:ascii="Times New Roman" w:hAnsi="Times New Roman"/>
          <w:b/>
          <w:sz w:val="40"/>
          <w:szCs w:val="40"/>
        </w:rPr>
      </w:pPr>
      <w:r w:rsidRPr="00CC42F1">
        <w:rPr>
          <w:rFonts w:ascii="Times New Roman" w:hAnsi="Times New Roman"/>
          <w:b/>
          <w:sz w:val="40"/>
          <w:szCs w:val="40"/>
        </w:rPr>
        <w:t>Objectives and Approach</w:t>
      </w:r>
      <w:r w:rsidR="00CC42F1" w:rsidRPr="00CC42F1">
        <w:rPr>
          <w:rFonts w:ascii="Times New Roman" w:hAnsi="Times New Roman"/>
          <w:b/>
          <w:sz w:val="40"/>
          <w:szCs w:val="40"/>
        </w:rPr>
        <w:t xml:space="preserve"> of the Report</w:t>
      </w:r>
    </w:p>
    <w:p w:rsidR="005A420A" w:rsidRDefault="005A420A" w:rsidP="005A420A">
      <w:pPr>
        <w:spacing w:after="0" w:line="360" w:lineRule="auto"/>
        <w:jc w:val="both"/>
        <w:rPr>
          <w:rFonts w:ascii="Times New Roman" w:hAnsi="Times New Roman"/>
          <w:sz w:val="24"/>
          <w:szCs w:val="24"/>
        </w:rPr>
      </w:pPr>
    </w:p>
    <w:p w:rsidR="00845840" w:rsidRDefault="00845840" w:rsidP="00845840">
      <w:pPr>
        <w:spacing w:after="0" w:line="360" w:lineRule="auto"/>
        <w:jc w:val="both"/>
        <w:rPr>
          <w:rFonts w:ascii="Times New Roman" w:hAnsi="Times New Roman"/>
          <w:sz w:val="24"/>
          <w:szCs w:val="24"/>
        </w:rPr>
      </w:pPr>
      <w:r w:rsidRPr="005A420A">
        <w:rPr>
          <w:rFonts w:ascii="Times New Roman" w:hAnsi="Times New Roman"/>
          <w:sz w:val="24"/>
          <w:szCs w:val="24"/>
        </w:rPr>
        <w:t xml:space="preserve">The </w:t>
      </w:r>
      <w:r>
        <w:rPr>
          <w:rFonts w:ascii="Times New Roman" w:hAnsi="Times New Roman"/>
          <w:sz w:val="24"/>
          <w:szCs w:val="24"/>
        </w:rPr>
        <w:t xml:space="preserve">assessment of </w:t>
      </w:r>
      <w:r w:rsidRPr="005A420A">
        <w:rPr>
          <w:rFonts w:ascii="Times New Roman" w:hAnsi="Times New Roman"/>
          <w:sz w:val="24"/>
          <w:szCs w:val="24"/>
        </w:rPr>
        <w:t xml:space="preserve">compliance </w:t>
      </w:r>
      <w:r w:rsidR="00CC2721">
        <w:rPr>
          <w:rFonts w:ascii="Times New Roman" w:hAnsi="Times New Roman"/>
          <w:sz w:val="24"/>
          <w:szCs w:val="24"/>
        </w:rPr>
        <w:t xml:space="preserve">to the </w:t>
      </w:r>
      <w:r>
        <w:rPr>
          <w:rFonts w:ascii="Times New Roman" w:hAnsi="Times New Roman"/>
          <w:sz w:val="24"/>
          <w:szCs w:val="24"/>
        </w:rPr>
        <w:t xml:space="preserve">provisions of </w:t>
      </w:r>
      <w:r w:rsidRPr="005A420A">
        <w:rPr>
          <w:rFonts w:ascii="Times New Roman" w:hAnsi="Times New Roman"/>
          <w:sz w:val="24"/>
          <w:szCs w:val="24"/>
        </w:rPr>
        <w:t>fiscal responsibility legislation</w:t>
      </w:r>
      <w:r>
        <w:rPr>
          <w:rFonts w:ascii="Times New Roman" w:hAnsi="Times New Roman"/>
          <w:sz w:val="24"/>
          <w:szCs w:val="24"/>
        </w:rPr>
        <w:t xml:space="preserve"> by the state government by an independent body has become part of </w:t>
      </w:r>
      <w:r w:rsidRPr="005A420A">
        <w:rPr>
          <w:rFonts w:ascii="Times New Roman" w:hAnsi="Times New Roman"/>
          <w:sz w:val="24"/>
          <w:szCs w:val="24"/>
        </w:rPr>
        <w:t xml:space="preserve">established accountability structure </w:t>
      </w:r>
      <w:r>
        <w:rPr>
          <w:rFonts w:ascii="Times New Roman" w:hAnsi="Times New Roman"/>
          <w:sz w:val="24"/>
          <w:szCs w:val="24"/>
        </w:rPr>
        <w:t xml:space="preserve">in the state </w:t>
      </w:r>
      <w:r w:rsidRPr="005A420A">
        <w:rPr>
          <w:rFonts w:ascii="Times New Roman" w:hAnsi="Times New Roman"/>
          <w:sz w:val="24"/>
          <w:szCs w:val="24"/>
        </w:rPr>
        <w:t xml:space="preserve">and is expected to improve transparency in the fiscal management. </w:t>
      </w:r>
      <w:r>
        <w:rPr>
          <w:rFonts w:ascii="Times New Roman" w:hAnsi="Times New Roman"/>
          <w:sz w:val="24"/>
          <w:szCs w:val="24"/>
        </w:rPr>
        <w:t xml:space="preserve">As the </w:t>
      </w:r>
      <w:r w:rsidRPr="00845840">
        <w:rPr>
          <w:rFonts w:ascii="Times New Roman" w:hAnsi="Times New Roman"/>
          <w:sz w:val="24"/>
          <w:szCs w:val="24"/>
        </w:rPr>
        <w:t xml:space="preserve">report is placed in the state legislature as per the requirements of the </w:t>
      </w:r>
      <w:r w:rsidR="00C04107">
        <w:rPr>
          <w:rFonts w:ascii="Times New Roman" w:hAnsi="Times New Roman"/>
          <w:sz w:val="24"/>
          <w:szCs w:val="24"/>
        </w:rPr>
        <w:t>Fiscal Responsibility and Budget Management Act (</w:t>
      </w:r>
      <w:r w:rsidRPr="00845840">
        <w:rPr>
          <w:rFonts w:ascii="Times New Roman" w:hAnsi="Times New Roman"/>
          <w:sz w:val="24"/>
          <w:szCs w:val="24"/>
        </w:rPr>
        <w:t>FRBM Act</w:t>
      </w:r>
      <w:r w:rsidR="008055D8">
        <w:rPr>
          <w:rFonts w:ascii="Times New Roman" w:hAnsi="Times New Roman"/>
          <w:sz w:val="24"/>
          <w:szCs w:val="24"/>
        </w:rPr>
        <w:t>)</w:t>
      </w:r>
      <w:r w:rsidRPr="00845840">
        <w:rPr>
          <w:rFonts w:ascii="Times New Roman" w:hAnsi="Times New Roman"/>
          <w:sz w:val="24"/>
          <w:szCs w:val="24"/>
        </w:rPr>
        <w:t xml:space="preserve"> </w:t>
      </w:r>
      <w:r>
        <w:rPr>
          <w:rFonts w:ascii="Times New Roman" w:hAnsi="Times New Roman"/>
          <w:sz w:val="24"/>
          <w:szCs w:val="24"/>
        </w:rPr>
        <w:t xml:space="preserve">and requires </w:t>
      </w:r>
      <w:r w:rsidRPr="00845840">
        <w:rPr>
          <w:rFonts w:ascii="Times New Roman" w:hAnsi="Times New Roman"/>
          <w:sz w:val="24"/>
          <w:szCs w:val="24"/>
        </w:rPr>
        <w:t xml:space="preserve">legislative </w:t>
      </w:r>
      <w:r>
        <w:rPr>
          <w:rFonts w:ascii="Times New Roman" w:hAnsi="Times New Roman"/>
          <w:sz w:val="24"/>
          <w:szCs w:val="24"/>
        </w:rPr>
        <w:t>approval</w:t>
      </w:r>
      <w:r w:rsidR="00CC2721">
        <w:rPr>
          <w:rFonts w:ascii="Times New Roman" w:hAnsi="Times New Roman"/>
          <w:sz w:val="24"/>
          <w:szCs w:val="24"/>
        </w:rPr>
        <w:t>,</w:t>
      </w:r>
      <w:r>
        <w:rPr>
          <w:rFonts w:ascii="Times New Roman" w:hAnsi="Times New Roman"/>
          <w:sz w:val="24"/>
          <w:szCs w:val="24"/>
        </w:rPr>
        <w:t xml:space="preserve"> it adds to the legislative scrutiny of public finances</w:t>
      </w:r>
      <w:r w:rsidRPr="00845840">
        <w:rPr>
          <w:rFonts w:ascii="Times New Roman" w:hAnsi="Times New Roman"/>
          <w:sz w:val="24"/>
          <w:szCs w:val="24"/>
        </w:rPr>
        <w:t xml:space="preserve">. </w:t>
      </w:r>
      <w:r w:rsidRPr="005A420A">
        <w:rPr>
          <w:rFonts w:ascii="Times New Roman" w:hAnsi="Times New Roman"/>
          <w:sz w:val="24"/>
          <w:szCs w:val="24"/>
        </w:rPr>
        <w:t xml:space="preserve"> </w:t>
      </w:r>
      <w:r>
        <w:rPr>
          <w:rFonts w:ascii="Times New Roman" w:hAnsi="Times New Roman"/>
          <w:sz w:val="24"/>
          <w:szCs w:val="24"/>
        </w:rPr>
        <w:t xml:space="preserve">The report is expected to </w:t>
      </w:r>
      <w:r w:rsidRPr="005A420A">
        <w:rPr>
          <w:rFonts w:ascii="Times New Roman" w:hAnsi="Times New Roman"/>
          <w:sz w:val="24"/>
          <w:szCs w:val="24"/>
        </w:rPr>
        <w:t>help in the process of wider dissemination of information and consultation process.</w:t>
      </w:r>
      <w:r w:rsidR="008055D8" w:rsidRPr="008055D8">
        <w:t xml:space="preserve"> </w:t>
      </w:r>
      <w:r w:rsidR="008055D8" w:rsidRPr="008055D8">
        <w:rPr>
          <w:rFonts w:ascii="Times New Roman" w:hAnsi="Times New Roman"/>
          <w:sz w:val="24"/>
          <w:szCs w:val="24"/>
        </w:rPr>
        <w:t xml:space="preserve">While Covid-19 pandemic affected revenue generation, increased expenditure and changed the spending pattern, partially in 2019 and to </w:t>
      </w:r>
      <w:r w:rsidR="008055D8">
        <w:rPr>
          <w:rFonts w:ascii="Times New Roman" w:hAnsi="Times New Roman"/>
          <w:sz w:val="24"/>
          <w:szCs w:val="24"/>
        </w:rPr>
        <w:t xml:space="preserve">a </w:t>
      </w:r>
      <w:r w:rsidR="008055D8" w:rsidRPr="008055D8">
        <w:rPr>
          <w:rFonts w:ascii="Times New Roman" w:hAnsi="Times New Roman"/>
          <w:sz w:val="24"/>
          <w:szCs w:val="24"/>
        </w:rPr>
        <w:t xml:space="preserve">large extent in 2020-21, </w:t>
      </w:r>
      <w:r w:rsidR="008055D8">
        <w:rPr>
          <w:rFonts w:ascii="Times New Roman" w:hAnsi="Times New Roman"/>
          <w:sz w:val="24"/>
          <w:szCs w:val="24"/>
        </w:rPr>
        <w:t xml:space="preserve">the assessment of </w:t>
      </w:r>
      <w:r w:rsidR="008055D8" w:rsidRPr="008055D8">
        <w:rPr>
          <w:rFonts w:ascii="Times New Roman" w:hAnsi="Times New Roman"/>
          <w:sz w:val="24"/>
          <w:szCs w:val="24"/>
        </w:rPr>
        <w:t xml:space="preserve">fiscal management </w:t>
      </w:r>
      <w:r w:rsidR="008055D8">
        <w:rPr>
          <w:rFonts w:ascii="Times New Roman" w:hAnsi="Times New Roman"/>
          <w:sz w:val="24"/>
          <w:szCs w:val="24"/>
        </w:rPr>
        <w:t xml:space="preserve">and compliance to the FRBM Act in </w:t>
      </w:r>
      <w:r w:rsidR="008055D8" w:rsidRPr="008055D8">
        <w:rPr>
          <w:rFonts w:ascii="Times New Roman" w:hAnsi="Times New Roman"/>
          <w:sz w:val="24"/>
          <w:szCs w:val="24"/>
        </w:rPr>
        <w:t>201</w:t>
      </w:r>
      <w:r w:rsidR="008055D8">
        <w:rPr>
          <w:rFonts w:ascii="Times New Roman" w:hAnsi="Times New Roman"/>
          <w:sz w:val="24"/>
          <w:szCs w:val="24"/>
        </w:rPr>
        <w:t>9</w:t>
      </w:r>
      <w:r w:rsidR="008055D8" w:rsidRPr="008055D8">
        <w:rPr>
          <w:rFonts w:ascii="Times New Roman" w:hAnsi="Times New Roman"/>
          <w:sz w:val="24"/>
          <w:szCs w:val="24"/>
        </w:rPr>
        <w:t>-</w:t>
      </w:r>
      <w:r w:rsidR="008055D8">
        <w:rPr>
          <w:rFonts w:ascii="Times New Roman" w:hAnsi="Times New Roman"/>
          <w:sz w:val="24"/>
          <w:szCs w:val="24"/>
        </w:rPr>
        <w:t>20</w:t>
      </w:r>
      <w:r w:rsidR="008055D8" w:rsidRPr="008055D8">
        <w:rPr>
          <w:rFonts w:ascii="Times New Roman" w:hAnsi="Times New Roman"/>
          <w:sz w:val="24"/>
          <w:szCs w:val="24"/>
        </w:rPr>
        <w:t xml:space="preserve"> will </w:t>
      </w:r>
      <w:r w:rsidR="008055D8">
        <w:rPr>
          <w:rFonts w:ascii="Times New Roman" w:hAnsi="Times New Roman"/>
          <w:sz w:val="24"/>
          <w:szCs w:val="24"/>
        </w:rPr>
        <w:t>point toward</w:t>
      </w:r>
      <w:r w:rsidR="008055D8" w:rsidRPr="008055D8">
        <w:rPr>
          <w:rFonts w:ascii="Times New Roman" w:hAnsi="Times New Roman"/>
          <w:sz w:val="24"/>
          <w:szCs w:val="24"/>
        </w:rPr>
        <w:t xml:space="preserve"> the capacity of the </w:t>
      </w:r>
      <w:r w:rsidR="00CC2721">
        <w:rPr>
          <w:rFonts w:ascii="Times New Roman" w:hAnsi="Times New Roman"/>
          <w:sz w:val="24"/>
          <w:szCs w:val="24"/>
        </w:rPr>
        <w:t>g</w:t>
      </w:r>
      <w:r w:rsidR="008055D8" w:rsidRPr="008055D8">
        <w:rPr>
          <w:rFonts w:ascii="Times New Roman" w:hAnsi="Times New Roman"/>
          <w:sz w:val="24"/>
          <w:szCs w:val="24"/>
        </w:rPr>
        <w:t>overnment to come back to the consolidation process.</w:t>
      </w:r>
    </w:p>
    <w:p w:rsidR="00845840" w:rsidRDefault="00845840" w:rsidP="005A420A">
      <w:pPr>
        <w:spacing w:after="0" w:line="360" w:lineRule="auto"/>
        <w:jc w:val="both"/>
        <w:rPr>
          <w:rFonts w:ascii="Times New Roman" w:hAnsi="Times New Roman"/>
          <w:sz w:val="24"/>
          <w:szCs w:val="24"/>
        </w:rPr>
      </w:pPr>
    </w:p>
    <w:p w:rsidR="00D17362" w:rsidRDefault="00D17362" w:rsidP="00D17362">
      <w:pPr>
        <w:spacing w:after="0" w:line="360" w:lineRule="auto"/>
        <w:jc w:val="both"/>
        <w:rPr>
          <w:rFonts w:ascii="Times New Roman" w:eastAsia="Times New Roman" w:hAnsi="Times New Roman"/>
          <w:sz w:val="24"/>
          <w:szCs w:val="24"/>
        </w:rPr>
      </w:pPr>
      <w:r>
        <w:rPr>
          <w:rFonts w:ascii="Times New Roman" w:hAnsi="Times New Roman"/>
          <w:sz w:val="24"/>
          <w:szCs w:val="24"/>
        </w:rPr>
        <w:t xml:space="preserve">The </w:t>
      </w:r>
      <w:r w:rsidRPr="00F550C9">
        <w:rPr>
          <w:rFonts w:ascii="Times New Roman" w:hAnsi="Times New Roman"/>
          <w:sz w:val="24"/>
          <w:szCs w:val="24"/>
        </w:rPr>
        <w:t xml:space="preserve">independent review </w:t>
      </w:r>
      <w:r w:rsidR="005438FB">
        <w:rPr>
          <w:rFonts w:ascii="Times New Roman" w:hAnsi="Times New Roman"/>
          <w:sz w:val="24"/>
          <w:szCs w:val="24"/>
        </w:rPr>
        <w:t xml:space="preserve">while assessing </w:t>
      </w:r>
      <w:r>
        <w:rPr>
          <w:rFonts w:ascii="Times New Roman" w:hAnsi="Times New Roman"/>
          <w:sz w:val="24"/>
          <w:szCs w:val="24"/>
        </w:rPr>
        <w:t>compliance record of the government</w:t>
      </w:r>
      <w:r w:rsidR="005438FB">
        <w:rPr>
          <w:rFonts w:ascii="Times New Roman" w:hAnsi="Times New Roman"/>
          <w:sz w:val="24"/>
          <w:szCs w:val="24"/>
        </w:rPr>
        <w:t xml:space="preserve"> in 2019-20</w:t>
      </w:r>
      <w:r w:rsidR="00CC2721">
        <w:rPr>
          <w:rFonts w:ascii="Times New Roman" w:hAnsi="Times New Roman"/>
          <w:sz w:val="24"/>
          <w:szCs w:val="24"/>
        </w:rPr>
        <w:t>,</w:t>
      </w:r>
      <w:r w:rsidR="005438FB">
        <w:rPr>
          <w:rFonts w:ascii="Times New Roman" w:hAnsi="Times New Roman"/>
          <w:sz w:val="24"/>
          <w:szCs w:val="24"/>
        </w:rPr>
        <w:t xml:space="preserve"> in terms of </w:t>
      </w:r>
      <w:r w:rsidR="005438FB" w:rsidRPr="00F550C9">
        <w:rPr>
          <w:rFonts w:ascii="Times New Roman" w:hAnsi="Times New Roman"/>
          <w:sz w:val="24"/>
          <w:szCs w:val="24"/>
        </w:rPr>
        <w:t>statutory fiscal targets and fiscal management principles enshrined in the FRBM Act</w:t>
      </w:r>
      <w:r w:rsidR="005438FB">
        <w:rPr>
          <w:rFonts w:ascii="Times New Roman" w:hAnsi="Times New Roman"/>
          <w:sz w:val="24"/>
          <w:szCs w:val="24"/>
        </w:rPr>
        <w:t xml:space="preserve">, analyzed the state finances in recent years. </w:t>
      </w:r>
      <w:r w:rsidR="005438FB">
        <w:rPr>
          <w:rFonts w:ascii="Times New Roman" w:eastAsia="Times New Roman" w:hAnsi="Times New Roman"/>
          <w:sz w:val="24"/>
          <w:szCs w:val="24"/>
        </w:rPr>
        <w:t>I</w:t>
      </w:r>
      <w:r w:rsidRPr="00F550C9">
        <w:rPr>
          <w:rFonts w:ascii="Times New Roman" w:eastAsia="Times New Roman" w:hAnsi="Times New Roman"/>
          <w:sz w:val="24"/>
          <w:szCs w:val="24"/>
        </w:rPr>
        <w:t xml:space="preserve">ndependent scrutiny </w:t>
      </w:r>
      <w:r w:rsidR="005438FB">
        <w:rPr>
          <w:rFonts w:ascii="Times New Roman" w:eastAsia="Times New Roman" w:hAnsi="Times New Roman"/>
          <w:sz w:val="24"/>
          <w:szCs w:val="24"/>
        </w:rPr>
        <w:t xml:space="preserve">of fiscal management in general and fiscal rules in particular, </w:t>
      </w:r>
      <w:r w:rsidRPr="00F550C9">
        <w:rPr>
          <w:rFonts w:ascii="Times New Roman" w:eastAsia="Times New Roman" w:hAnsi="Times New Roman"/>
          <w:sz w:val="24"/>
          <w:szCs w:val="24"/>
        </w:rPr>
        <w:t>is a means of practicing transparency in governance</w:t>
      </w:r>
      <w:r w:rsidR="005438FB" w:rsidRPr="00F550C9">
        <w:rPr>
          <w:rFonts w:ascii="Times New Roman" w:eastAsia="Times New Roman" w:hAnsi="Times New Roman"/>
          <w:sz w:val="24"/>
          <w:szCs w:val="24"/>
          <w:vertAlign w:val="superscript"/>
        </w:rPr>
        <w:footnoteReference w:id="1"/>
      </w:r>
      <w:r w:rsidR="005438FB" w:rsidRPr="00F550C9">
        <w:rPr>
          <w:rFonts w:ascii="Times New Roman" w:eastAsia="Times New Roman" w:hAnsi="Times New Roman"/>
          <w:sz w:val="24"/>
          <w:szCs w:val="24"/>
        </w:rPr>
        <w:t>.</w:t>
      </w:r>
      <w:r w:rsidR="005438FB">
        <w:rPr>
          <w:rFonts w:ascii="Times New Roman" w:eastAsia="Times New Roman" w:hAnsi="Times New Roman"/>
          <w:sz w:val="24"/>
          <w:szCs w:val="24"/>
        </w:rPr>
        <w:t xml:space="preserve"> This feature assumes significance in public financial management (PFM) and </w:t>
      </w:r>
      <w:r w:rsidRPr="00F550C9">
        <w:rPr>
          <w:rFonts w:ascii="Times New Roman" w:eastAsia="Times New Roman" w:hAnsi="Times New Roman"/>
          <w:sz w:val="24"/>
          <w:szCs w:val="24"/>
        </w:rPr>
        <w:t>enhances trust on government policies</w:t>
      </w:r>
      <w:r w:rsidR="005438FB">
        <w:rPr>
          <w:rFonts w:ascii="Times New Roman" w:eastAsia="Times New Roman" w:hAnsi="Times New Roman"/>
          <w:sz w:val="24"/>
          <w:szCs w:val="24"/>
        </w:rPr>
        <w:t xml:space="preserve">. Sound PFM systems prescribe submitting key fiscal data and information, planned programs and </w:t>
      </w:r>
      <w:r w:rsidRPr="00F550C9">
        <w:rPr>
          <w:rFonts w:ascii="Times New Roman" w:eastAsia="Times New Roman" w:hAnsi="Times New Roman"/>
          <w:sz w:val="24"/>
          <w:szCs w:val="24"/>
        </w:rPr>
        <w:t xml:space="preserve">policy objectives, </w:t>
      </w:r>
      <w:r w:rsidR="005438FB">
        <w:rPr>
          <w:rFonts w:ascii="Times New Roman" w:eastAsia="Times New Roman" w:hAnsi="Times New Roman"/>
          <w:sz w:val="24"/>
          <w:szCs w:val="24"/>
        </w:rPr>
        <w:t xml:space="preserve">expected outcomes to the legislature for better </w:t>
      </w:r>
      <w:r w:rsidR="005438FB" w:rsidRPr="00F550C9">
        <w:rPr>
          <w:rFonts w:ascii="Times New Roman" w:eastAsia="Times New Roman" w:hAnsi="Times New Roman"/>
          <w:sz w:val="24"/>
          <w:szCs w:val="24"/>
        </w:rPr>
        <w:t>legislative control</w:t>
      </w:r>
      <w:r w:rsidR="005438FB">
        <w:rPr>
          <w:rFonts w:ascii="Times New Roman" w:eastAsia="Times New Roman" w:hAnsi="Times New Roman"/>
          <w:sz w:val="24"/>
          <w:szCs w:val="24"/>
        </w:rPr>
        <w:t xml:space="preserve"> and disseminate to the public at large to enhance transparency and accountability. </w:t>
      </w:r>
      <w:r w:rsidRPr="00F550C9">
        <w:rPr>
          <w:rFonts w:ascii="Times New Roman" w:eastAsia="Times New Roman" w:hAnsi="Times New Roman"/>
          <w:sz w:val="24"/>
          <w:szCs w:val="24"/>
        </w:rPr>
        <w:t xml:space="preserve">The independent scrutiny becomes instrumental in this process, by helping legislatures and the public in accessing the quality of fiscal policies, plans and performance. </w:t>
      </w:r>
    </w:p>
    <w:p w:rsidR="002B58A9" w:rsidRDefault="002B58A9" w:rsidP="00D17362">
      <w:pPr>
        <w:spacing w:after="0" w:line="360" w:lineRule="auto"/>
        <w:jc w:val="both"/>
        <w:rPr>
          <w:rFonts w:ascii="Times New Roman" w:eastAsia="Times New Roman" w:hAnsi="Times New Roman"/>
          <w:sz w:val="24"/>
          <w:szCs w:val="24"/>
        </w:rPr>
      </w:pPr>
    </w:p>
    <w:p w:rsidR="002B58A9" w:rsidRPr="00F550C9" w:rsidRDefault="002B58A9" w:rsidP="002B58A9">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T</w:t>
      </w:r>
      <w:r w:rsidRPr="00F550C9">
        <w:rPr>
          <w:rFonts w:ascii="Times New Roman" w:eastAsiaTheme="minorHAnsi" w:hAnsi="Times New Roman"/>
          <w:sz w:val="24"/>
          <w:szCs w:val="24"/>
        </w:rPr>
        <w:t xml:space="preserve">he FC-XIII recommended to institutionalize </w:t>
      </w:r>
      <w:r>
        <w:rPr>
          <w:rFonts w:ascii="Times New Roman" w:eastAsiaTheme="minorHAnsi" w:hAnsi="Times New Roman"/>
          <w:sz w:val="24"/>
          <w:szCs w:val="24"/>
        </w:rPr>
        <w:t xml:space="preserve">independent review of FRBM Act at </w:t>
      </w:r>
      <w:r w:rsidRPr="00F550C9">
        <w:rPr>
          <w:rFonts w:ascii="Times New Roman" w:eastAsiaTheme="minorHAnsi" w:hAnsi="Times New Roman"/>
          <w:sz w:val="24"/>
          <w:szCs w:val="24"/>
        </w:rPr>
        <w:t>the level of Union and state</w:t>
      </w:r>
      <w:r>
        <w:rPr>
          <w:rFonts w:ascii="Times New Roman" w:eastAsiaTheme="minorHAnsi" w:hAnsi="Times New Roman"/>
          <w:sz w:val="24"/>
          <w:szCs w:val="24"/>
        </w:rPr>
        <w:t xml:space="preserve"> governments</w:t>
      </w:r>
      <w:r w:rsidRPr="002B58A9">
        <w:rPr>
          <w:rFonts w:ascii="Times New Roman" w:eastAsiaTheme="minorHAnsi" w:hAnsi="Times New Roman"/>
          <w:sz w:val="24"/>
          <w:szCs w:val="24"/>
        </w:rPr>
        <w:t xml:space="preserve"> </w:t>
      </w:r>
      <w:r w:rsidRPr="00F550C9">
        <w:rPr>
          <w:rFonts w:ascii="Times New Roman" w:eastAsiaTheme="minorHAnsi" w:hAnsi="Times New Roman"/>
          <w:sz w:val="24"/>
          <w:szCs w:val="24"/>
        </w:rPr>
        <w:t xml:space="preserve">to bring in efficiency to public spending and improve credibility. </w:t>
      </w:r>
      <w:r>
        <w:rPr>
          <w:rFonts w:ascii="Times New Roman" w:eastAsiaTheme="minorHAnsi" w:hAnsi="Times New Roman"/>
          <w:sz w:val="24"/>
          <w:szCs w:val="24"/>
        </w:rPr>
        <w:t xml:space="preserve">The </w:t>
      </w:r>
      <w:r w:rsidRPr="00F550C9">
        <w:rPr>
          <w:rFonts w:ascii="Times New Roman" w:eastAsiaTheme="minorHAnsi" w:hAnsi="Times New Roman"/>
          <w:sz w:val="24"/>
          <w:szCs w:val="24"/>
        </w:rPr>
        <w:t>Commission</w:t>
      </w:r>
      <w:r>
        <w:rPr>
          <w:rFonts w:ascii="Times New Roman" w:eastAsiaTheme="minorHAnsi" w:hAnsi="Times New Roman"/>
          <w:sz w:val="24"/>
          <w:szCs w:val="24"/>
        </w:rPr>
        <w:t xml:space="preserve"> opined </w:t>
      </w:r>
      <w:r>
        <w:rPr>
          <w:rFonts w:ascii="Times New Roman" w:eastAsiaTheme="minorHAnsi" w:hAnsi="Times New Roman"/>
          <w:sz w:val="24"/>
        </w:rPr>
        <w:t xml:space="preserve">that the process of </w:t>
      </w:r>
      <w:r w:rsidRPr="00F550C9">
        <w:rPr>
          <w:rFonts w:ascii="Times New Roman" w:eastAsiaTheme="minorHAnsi" w:hAnsi="Times New Roman"/>
          <w:sz w:val="24"/>
          <w:szCs w:val="24"/>
        </w:rPr>
        <w:t xml:space="preserve">independent review mechanism should evolve into </w:t>
      </w:r>
      <w:r w:rsidRPr="00F550C9">
        <w:rPr>
          <w:rFonts w:ascii="Times New Roman" w:eastAsiaTheme="minorHAnsi" w:hAnsi="Times New Roman"/>
          <w:sz w:val="24"/>
          <w:szCs w:val="24"/>
        </w:rPr>
        <w:lastRenderedPageBreak/>
        <w:t>a fiscal council with legislative backing over time</w:t>
      </w:r>
      <w:r w:rsidRPr="00F550C9">
        <w:rPr>
          <w:rFonts w:ascii="Times New Roman" w:eastAsiaTheme="minorHAnsi" w:hAnsi="Times New Roman"/>
          <w:sz w:val="24"/>
          <w:szCs w:val="24"/>
          <w:vertAlign w:val="superscript"/>
        </w:rPr>
        <w:footnoteReference w:id="2"/>
      </w:r>
      <w:r w:rsidRPr="00F550C9">
        <w:rPr>
          <w:rFonts w:ascii="Times New Roman" w:eastAsiaTheme="minorHAnsi" w:hAnsi="Times New Roman"/>
          <w:sz w:val="24"/>
          <w:szCs w:val="24"/>
        </w:rPr>
        <w:t>. FC-XIV and other expert bodies also favored creating fiscal council at the Union level</w:t>
      </w:r>
      <w:r w:rsidRPr="00F550C9">
        <w:rPr>
          <w:rFonts w:ascii="Times New Roman" w:eastAsiaTheme="minorHAnsi" w:hAnsi="Times New Roman"/>
          <w:sz w:val="24"/>
          <w:szCs w:val="24"/>
          <w:vertAlign w:val="superscript"/>
        </w:rPr>
        <w:footnoteReference w:id="3"/>
      </w:r>
      <w:r w:rsidRPr="00F550C9">
        <w:rPr>
          <w:rFonts w:ascii="Times New Roman" w:eastAsiaTheme="minorHAnsi" w:hAnsi="Times New Roman"/>
          <w:sz w:val="24"/>
          <w:szCs w:val="24"/>
        </w:rPr>
        <w:t xml:space="preserve">. The Union Government, however, has entrusted the responsibility of independent evaluation of FRBM Act to the Comptroller and Auditor General of India (CAG). Establishing fiscal council for all the states could be a complex effort, for which periodical independent review looks more feasible to enhance accountability and transparency.   </w:t>
      </w:r>
    </w:p>
    <w:p w:rsidR="009B7382" w:rsidRDefault="009B7382" w:rsidP="005A420A">
      <w:pPr>
        <w:spacing w:after="0" w:line="360" w:lineRule="auto"/>
        <w:jc w:val="both"/>
        <w:rPr>
          <w:rFonts w:ascii="Times New Roman" w:hAnsi="Times New Roman"/>
          <w:sz w:val="24"/>
          <w:szCs w:val="24"/>
        </w:rPr>
      </w:pPr>
    </w:p>
    <w:p w:rsidR="002B58A9" w:rsidRDefault="002B58A9" w:rsidP="002B58A9">
      <w:pPr>
        <w:spacing w:after="0" w:line="360" w:lineRule="auto"/>
        <w:jc w:val="both"/>
        <w:rPr>
          <w:rFonts w:ascii="Times New Roman" w:hAnsi="Times New Roman"/>
          <w:sz w:val="24"/>
          <w:szCs w:val="24"/>
        </w:rPr>
      </w:pPr>
      <w:r>
        <w:rPr>
          <w:rFonts w:ascii="Times New Roman" w:hAnsi="Times New Roman"/>
          <w:sz w:val="24"/>
          <w:szCs w:val="24"/>
        </w:rPr>
        <w:t xml:space="preserve">Sikkim </w:t>
      </w:r>
      <w:r w:rsidRPr="005B5DE6">
        <w:rPr>
          <w:rFonts w:ascii="Times New Roman" w:hAnsi="Times New Roman"/>
          <w:sz w:val="24"/>
          <w:szCs w:val="24"/>
        </w:rPr>
        <w:t>enacted FRBM</w:t>
      </w:r>
      <w:r>
        <w:rPr>
          <w:rFonts w:ascii="Times New Roman" w:hAnsi="Times New Roman"/>
          <w:sz w:val="24"/>
          <w:szCs w:val="24"/>
        </w:rPr>
        <w:t xml:space="preserve"> Act</w:t>
      </w:r>
      <w:r w:rsidRPr="005B5DE6">
        <w:rPr>
          <w:rFonts w:ascii="Times New Roman" w:hAnsi="Times New Roman"/>
          <w:sz w:val="24"/>
          <w:szCs w:val="24"/>
        </w:rPr>
        <w:t xml:space="preserve"> in 2010-11</w:t>
      </w:r>
      <w:r>
        <w:rPr>
          <w:rFonts w:ascii="Times New Roman" w:hAnsi="Times New Roman"/>
          <w:sz w:val="24"/>
          <w:szCs w:val="24"/>
        </w:rPr>
        <w:t xml:space="preserve"> with the objective of </w:t>
      </w:r>
      <w:r w:rsidRPr="005B5DE6">
        <w:rPr>
          <w:rFonts w:ascii="Times New Roman" w:hAnsi="Times New Roman"/>
          <w:sz w:val="24"/>
          <w:szCs w:val="24"/>
        </w:rPr>
        <w:t xml:space="preserve">designing and implementing a rule based fiscal management system to ensure fiscal stability and sustainability while ensuring efficient provision of public services.  Introduction of FRBM Act </w:t>
      </w:r>
      <w:r>
        <w:rPr>
          <w:rFonts w:ascii="Times New Roman" w:hAnsi="Times New Roman"/>
          <w:sz w:val="24"/>
          <w:szCs w:val="24"/>
        </w:rPr>
        <w:t xml:space="preserve">facilitated </w:t>
      </w:r>
      <w:r w:rsidRPr="005B5DE6">
        <w:rPr>
          <w:rFonts w:ascii="Times New Roman" w:hAnsi="Times New Roman"/>
          <w:sz w:val="24"/>
          <w:szCs w:val="24"/>
        </w:rPr>
        <w:t xml:space="preserve">formulation of Medium </w:t>
      </w:r>
      <w:r>
        <w:rPr>
          <w:rFonts w:ascii="Times New Roman" w:hAnsi="Times New Roman"/>
          <w:sz w:val="24"/>
          <w:szCs w:val="24"/>
        </w:rPr>
        <w:t>T</w:t>
      </w:r>
      <w:r w:rsidRPr="005B5DE6">
        <w:rPr>
          <w:rFonts w:ascii="Times New Roman" w:hAnsi="Times New Roman"/>
          <w:sz w:val="24"/>
          <w:szCs w:val="24"/>
        </w:rPr>
        <w:t xml:space="preserve">erm </w:t>
      </w:r>
      <w:r>
        <w:rPr>
          <w:rFonts w:ascii="Times New Roman" w:hAnsi="Times New Roman"/>
          <w:sz w:val="24"/>
          <w:szCs w:val="24"/>
        </w:rPr>
        <w:t>F</w:t>
      </w:r>
      <w:r w:rsidRPr="005B5DE6">
        <w:rPr>
          <w:rFonts w:ascii="Times New Roman" w:hAnsi="Times New Roman"/>
          <w:sz w:val="24"/>
          <w:szCs w:val="24"/>
        </w:rPr>
        <w:t xml:space="preserve">iscal </w:t>
      </w:r>
      <w:r>
        <w:rPr>
          <w:rFonts w:ascii="Times New Roman" w:hAnsi="Times New Roman"/>
          <w:sz w:val="24"/>
          <w:szCs w:val="24"/>
        </w:rPr>
        <w:t>P</w:t>
      </w:r>
      <w:r w:rsidRPr="005B5DE6">
        <w:rPr>
          <w:rFonts w:ascii="Times New Roman" w:hAnsi="Times New Roman"/>
          <w:sz w:val="24"/>
          <w:szCs w:val="24"/>
        </w:rPr>
        <w:t>lan (MTFP)</w:t>
      </w:r>
      <w:r>
        <w:rPr>
          <w:rFonts w:ascii="Times New Roman" w:hAnsi="Times New Roman"/>
          <w:sz w:val="24"/>
          <w:szCs w:val="24"/>
        </w:rPr>
        <w:t xml:space="preserve"> to provide a medium term perspective of macro-fiscal situation and improve transparency. </w:t>
      </w:r>
      <w:r w:rsidRPr="005B5DE6">
        <w:rPr>
          <w:rFonts w:ascii="Times New Roman" w:hAnsi="Times New Roman"/>
          <w:sz w:val="24"/>
          <w:szCs w:val="24"/>
        </w:rPr>
        <w:t xml:space="preserve">The </w:t>
      </w:r>
      <w:r>
        <w:rPr>
          <w:rFonts w:ascii="Times New Roman" w:hAnsi="Times New Roman"/>
          <w:sz w:val="24"/>
          <w:szCs w:val="24"/>
        </w:rPr>
        <w:t xml:space="preserve">state FRBM </w:t>
      </w:r>
      <w:r w:rsidRPr="005B5DE6">
        <w:rPr>
          <w:rFonts w:ascii="Times New Roman" w:hAnsi="Times New Roman"/>
          <w:sz w:val="24"/>
          <w:szCs w:val="24"/>
        </w:rPr>
        <w:t xml:space="preserve">Act </w:t>
      </w:r>
      <w:r>
        <w:rPr>
          <w:rFonts w:ascii="Times New Roman" w:hAnsi="Times New Roman"/>
          <w:sz w:val="24"/>
          <w:szCs w:val="24"/>
        </w:rPr>
        <w:t>lays down</w:t>
      </w:r>
      <w:r w:rsidRPr="005B5DE6">
        <w:rPr>
          <w:rFonts w:ascii="Times New Roman" w:hAnsi="Times New Roman"/>
          <w:sz w:val="24"/>
          <w:szCs w:val="24"/>
        </w:rPr>
        <w:t xml:space="preserve"> quantitative targets with regard to deficit measures and debt level. </w:t>
      </w:r>
      <w:r>
        <w:rPr>
          <w:rFonts w:ascii="Times New Roman" w:hAnsi="Times New Roman"/>
          <w:sz w:val="24"/>
          <w:szCs w:val="24"/>
        </w:rPr>
        <w:t xml:space="preserve">Over the years there have been several changes in these targets following recommendations of successive Central Finance Commissions. </w:t>
      </w:r>
      <w:r w:rsidRPr="005B5DE6">
        <w:rPr>
          <w:rFonts w:ascii="Times New Roman" w:hAnsi="Times New Roman"/>
          <w:sz w:val="24"/>
          <w:szCs w:val="24"/>
        </w:rPr>
        <w:t xml:space="preserve">The fiscal management principles enshrined in the Act call upon the </w:t>
      </w:r>
      <w:r>
        <w:rPr>
          <w:rFonts w:ascii="Times New Roman" w:hAnsi="Times New Roman"/>
          <w:sz w:val="24"/>
          <w:szCs w:val="24"/>
        </w:rPr>
        <w:t>s</w:t>
      </w:r>
      <w:r w:rsidRPr="005B5DE6">
        <w:rPr>
          <w:rFonts w:ascii="Times New Roman" w:hAnsi="Times New Roman"/>
          <w:sz w:val="24"/>
          <w:szCs w:val="24"/>
        </w:rPr>
        <w:t xml:space="preserve">tate </w:t>
      </w:r>
      <w:r>
        <w:rPr>
          <w:rFonts w:ascii="Times New Roman" w:hAnsi="Times New Roman"/>
          <w:sz w:val="24"/>
          <w:szCs w:val="24"/>
        </w:rPr>
        <w:t>g</w:t>
      </w:r>
      <w:r w:rsidRPr="005B5DE6">
        <w:rPr>
          <w:rFonts w:ascii="Times New Roman" w:hAnsi="Times New Roman"/>
          <w:sz w:val="24"/>
          <w:szCs w:val="24"/>
        </w:rPr>
        <w:t xml:space="preserve">overnment to </w:t>
      </w:r>
      <w:r>
        <w:rPr>
          <w:rFonts w:ascii="Times New Roman" w:hAnsi="Times New Roman"/>
          <w:sz w:val="24"/>
          <w:szCs w:val="24"/>
        </w:rPr>
        <w:t xml:space="preserve">design and implement prudent fiscal policies to </w:t>
      </w:r>
      <w:r w:rsidRPr="005B5DE6">
        <w:rPr>
          <w:rFonts w:ascii="Times New Roman" w:hAnsi="Times New Roman"/>
          <w:sz w:val="24"/>
          <w:szCs w:val="24"/>
        </w:rPr>
        <w:t xml:space="preserve">ensure transparency in </w:t>
      </w:r>
      <w:r>
        <w:rPr>
          <w:rFonts w:ascii="Times New Roman" w:hAnsi="Times New Roman"/>
          <w:sz w:val="24"/>
          <w:szCs w:val="24"/>
        </w:rPr>
        <w:t xml:space="preserve">fiscal management, improve </w:t>
      </w:r>
      <w:r w:rsidRPr="005B5DE6">
        <w:rPr>
          <w:rFonts w:ascii="Times New Roman" w:hAnsi="Times New Roman"/>
          <w:sz w:val="24"/>
          <w:szCs w:val="24"/>
        </w:rPr>
        <w:t xml:space="preserve">predictability </w:t>
      </w:r>
      <w:r>
        <w:rPr>
          <w:rFonts w:ascii="Times New Roman" w:hAnsi="Times New Roman"/>
          <w:sz w:val="24"/>
          <w:szCs w:val="24"/>
        </w:rPr>
        <w:t xml:space="preserve">in funding arrangements, provide a medium term perspective of revenue effort and expenditure management, </w:t>
      </w:r>
      <w:r w:rsidRPr="005B5DE6">
        <w:rPr>
          <w:rFonts w:ascii="Times New Roman" w:hAnsi="Times New Roman"/>
          <w:sz w:val="24"/>
          <w:szCs w:val="24"/>
        </w:rPr>
        <w:t xml:space="preserve">and improve efficiency in management of assets and liabilities.  </w:t>
      </w:r>
    </w:p>
    <w:p w:rsidR="002B58A9" w:rsidRPr="005B5DE6" w:rsidRDefault="002B58A9" w:rsidP="002B58A9">
      <w:pPr>
        <w:spacing w:after="0" w:line="360" w:lineRule="auto"/>
        <w:ind w:firstLine="720"/>
        <w:jc w:val="both"/>
        <w:rPr>
          <w:rFonts w:ascii="Times New Roman" w:hAnsi="Times New Roman"/>
          <w:sz w:val="24"/>
          <w:szCs w:val="24"/>
        </w:rPr>
      </w:pPr>
    </w:p>
    <w:p w:rsidR="00B8167A" w:rsidRDefault="00B8167A" w:rsidP="002B58A9">
      <w:pPr>
        <w:spacing w:after="0" w:line="360" w:lineRule="auto"/>
        <w:jc w:val="both"/>
        <w:rPr>
          <w:rFonts w:ascii="Times New Roman" w:hAnsi="Times New Roman"/>
          <w:sz w:val="24"/>
          <w:szCs w:val="24"/>
        </w:rPr>
      </w:pPr>
      <w:r w:rsidRPr="00B8167A">
        <w:rPr>
          <w:rFonts w:ascii="Times New Roman" w:hAnsi="Times New Roman"/>
          <w:sz w:val="24"/>
          <w:szCs w:val="24"/>
        </w:rPr>
        <w:t>The Sikkim Fiscal Responsibility and Budget Management Act (FRBM), 2010 under Section 7(7) prescribes that “the Government may assign to an independent external agency the task of carrying out the periodical review for the compliance of the provisions of this Act in the manner as may be prescribed”. This is among the measures prescribed to enforce compliance to the Act.</w:t>
      </w:r>
      <w:r>
        <w:rPr>
          <w:rFonts w:ascii="Times New Roman" w:hAnsi="Times New Roman"/>
          <w:sz w:val="24"/>
          <w:szCs w:val="24"/>
        </w:rPr>
        <w:t xml:space="preserve"> </w:t>
      </w:r>
      <w:r w:rsidRPr="00B8167A">
        <w:rPr>
          <w:rFonts w:ascii="Times New Roman" w:hAnsi="Times New Roman"/>
          <w:sz w:val="24"/>
          <w:szCs w:val="24"/>
        </w:rPr>
        <w:t xml:space="preserve">The specific objective of the review is to examine the concurrence of the </w:t>
      </w:r>
      <w:r w:rsidR="00CC2721">
        <w:rPr>
          <w:rFonts w:ascii="Times New Roman" w:hAnsi="Times New Roman"/>
          <w:sz w:val="24"/>
          <w:szCs w:val="24"/>
        </w:rPr>
        <w:t>s</w:t>
      </w:r>
      <w:r w:rsidRPr="00B8167A">
        <w:rPr>
          <w:rFonts w:ascii="Times New Roman" w:hAnsi="Times New Roman"/>
          <w:sz w:val="24"/>
          <w:szCs w:val="24"/>
        </w:rPr>
        <w:t xml:space="preserve">tate </w:t>
      </w:r>
      <w:r w:rsidR="00CC2721">
        <w:rPr>
          <w:rFonts w:ascii="Times New Roman" w:hAnsi="Times New Roman"/>
          <w:sz w:val="24"/>
          <w:szCs w:val="24"/>
        </w:rPr>
        <w:t>g</w:t>
      </w:r>
      <w:r w:rsidRPr="00B8167A">
        <w:rPr>
          <w:rFonts w:ascii="Times New Roman" w:hAnsi="Times New Roman"/>
          <w:sz w:val="24"/>
          <w:szCs w:val="24"/>
        </w:rPr>
        <w:t>overnment to the fiscal targets in terms of deficit and debt stock relative to the State GSDP. These are the benchmarks for a rule based fiscal management system to attain fiscal stability and sustainability.</w:t>
      </w:r>
      <w:r w:rsidRPr="00B8167A">
        <w:t xml:space="preserve"> </w:t>
      </w:r>
      <w:r w:rsidRPr="00B8167A">
        <w:rPr>
          <w:rFonts w:ascii="Times New Roman" w:hAnsi="Times New Roman"/>
          <w:sz w:val="24"/>
          <w:szCs w:val="24"/>
        </w:rPr>
        <w:t xml:space="preserve">The review also looks at the other budget management requirements enshrined </w:t>
      </w:r>
      <w:r w:rsidRPr="00B8167A">
        <w:rPr>
          <w:rFonts w:ascii="Times New Roman" w:hAnsi="Times New Roman"/>
          <w:sz w:val="24"/>
          <w:szCs w:val="24"/>
        </w:rPr>
        <w:lastRenderedPageBreak/>
        <w:t xml:space="preserve">in the Act like improving transparency and following the desirable fiscal management principles.  </w:t>
      </w:r>
    </w:p>
    <w:p w:rsidR="00BB0931" w:rsidRDefault="00BB0931" w:rsidP="003A1C8F">
      <w:pPr>
        <w:spacing w:after="0" w:line="360" w:lineRule="auto"/>
        <w:jc w:val="both"/>
        <w:rPr>
          <w:rFonts w:ascii="Times New Roman" w:hAnsi="Times New Roman"/>
          <w:sz w:val="24"/>
          <w:szCs w:val="24"/>
        </w:rPr>
      </w:pPr>
    </w:p>
    <w:p w:rsidR="00143EED" w:rsidRPr="00BB0931" w:rsidRDefault="00BB0931" w:rsidP="00BB0931">
      <w:pPr>
        <w:spacing w:after="0" w:line="360" w:lineRule="auto"/>
        <w:jc w:val="both"/>
        <w:rPr>
          <w:rFonts w:ascii="Times New Roman" w:hAnsi="Times New Roman"/>
          <w:b/>
          <w:sz w:val="24"/>
          <w:szCs w:val="24"/>
        </w:rPr>
      </w:pPr>
      <w:r>
        <w:rPr>
          <w:rFonts w:ascii="Times New Roman" w:hAnsi="Times New Roman"/>
          <w:b/>
          <w:sz w:val="24"/>
          <w:szCs w:val="24"/>
        </w:rPr>
        <w:t>1.1</w:t>
      </w:r>
      <w:r w:rsidRPr="00BB0931">
        <w:rPr>
          <w:rFonts w:ascii="Times New Roman" w:hAnsi="Times New Roman"/>
          <w:b/>
          <w:sz w:val="24"/>
          <w:szCs w:val="24"/>
        </w:rPr>
        <w:t xml:space="preserve"> </w:t>
      </w:r>
      <w:r w:rsidR="00EB4167" w:rsidRPr="00BB0931">
        <w:rPr>
          <w:rFonts w:ascii="Times New Roman" w:hAnsi="Times New Roman"/>
          <w:b/>
          <w:sz w:val="24"/>
          <w:szCs w:val="24"/>
        </w:rPr>
        <w:t xml:space="preserve">Objectives of </w:t>
      </w:r>
      <w:r w:rsidR="0058284D" w:rsidRPr="00BB0931">
        <w:rPr>
          <w:rFonts w:ascii="Times New Roman" w:hAnsi="Times New Roman"/>
          <w:b/>
          <w:sz w:val="24"/>
          <w:szCs w:val="24"/>
        </w:rPr>
        <w:t>the Review Report</w:t>
      </w:r>
    </w:p>
    <w:p w:rsidR="0095494F" w:rsidRDefault="0095494F" w:rsidP="0095494F">
      <w:pPr>
        <w:spacing w:after="0" w:line="360" w:lineRule="auto"/>
        <w:jc w:val="both"/>
        <w:rPr>
          <w:rFonts w:ascii="Times New Roman" w:hAnsi="Times New Roman"/>
          <w:sz w:val="24"/>
          <w:szCs w:val="24"/>
        </w:rPr>
      </w:pPr>
    </w:p>
    <w:p w:rsidR="00EB4167" w:rsidRPr="00EB4167" w:rsidRDefault="0095494F" w:rsidP="00EB4167">
      <w:pPr>
        <w:spacing w:after="0" w:line="360" w:lineRule="auto"/>
        <w:jc w:val="both"/>
        <w:rPr>
          <w:rFonts w:ascii="Times New Roman" w:eastAsiaTheme="minorHAnsi" w:hAnsi="Times New Roman"/>
          <w:sz w:val="24"/>
          <w:szCs w:val="24"/>
        </w:rPr>
      </w:pPr>
      <w:r>
        <w:rPr>
          <w:rFonts w:ascii="Times New Roman" w:hAnsi="Times New Roman"/>
          <w:sz w:val="24"/>
          <w:szCs w:val="24"/>
        </w:rPr>
        <w:t xml:space="preserve">Government of Sikkim entrusted </w:t>
      </w:r>
      <w:r w:rsidRPr="005A420A">
        <w:rPr>
          <w:rFonts w:ascii="Times New Roman" w:hAnsi="Times New Roman"/>
          <w:sz w:val="24"/>
          <w:szCs w:val="24"/>
        </w:rPr>
        <w:t xml:space="preserve">the responsibility of reviewing the compliance of the Act for the fiscal year </w:t>
      </w:r>
      <w:r>
        <w:rPr>
          <w:rFonts w:ascii="Times New Roman" w:hAnsi="Times New Roman"/>
          <w:sz w:val="24"/>
          <w:szCs w:val="24"/>
        </w:rPr>
        <w:t>20</w:t>
      </w:r>
      <w:r w:rsidRPr="005A420A">
        <w:rPr>
          <w:rFonts w:ascii="Times New Roman" w:hAnsi="Times New Roman"/>
          <w:sz w:val="24"/>
          <w:szCs w:val="24"/>
        </w:rPr>
        <w:t>1</w:t>
      </w:r>
      <w:r>
        <w:rPr>
          <w:rFonts w:ascii="Times New Roman" w:hAnsi="Times New Roman"/>
          <w:sz w:val="24"/>
          <w:szCs w:val="24"/>
        </w:rPr>
        <w:t>9</w:t>
      </w:r>
      <w:r w:rsidRPr="005A420A">
        <w:rPr>
          <w:rFonts w:ascii="Times New Roman" w:hAnsi="Times New Roman"/>
          <w:sz w:val="24"/>
          <w:szCs w:val="24"/>
        </w:rPr>
        <w:t>-</w:t>
      </w:r>
      <w:r>
        <w:rPr>
          <w:rFonts w:ascii="Times New Roman" w:hAnsi="Times New Roman"/>
          <w:sz w:val="24"/>
          <w:szCs w:val="24"/>
        </w:rPr>
        <w:t>20</w:t>
      </w:r>
      <w:r w:rsidRPr="005A420A">
        <w:rPr>
          <w:rFonts w:ascii="Times New Roman" w:hAnsi="Times New Roman"/>
          <w:sz w:val="24"/>
          <w:szCs w:val="24"/>
        </w:rPr>
        <w:t xml:space="preserve"> to National Institute of Public Financ</w:t>
      </w:r>
      <w:r w:rsidR="00896283">
        <w:rPr>
          <w:rFonts w:ascii="Times New Roman" w:hAnsi="Times New Roman"/>
          <w:sz w:val="24"/>
          <w:szCs w:val="24"/>
        </w:rPr>
        <w:t>e and Policy (NIPFP), New Delh</w:t>
      </w:r>
      <w:r w:rsidR="00896283" w:rsidRPr="00135EB9">
        <w:rPr>
          <w:rFonts w:ascii="Times New Roman" w:hAnsi="Times New Roman"/>
          <w:sz w:val="24"/>
          <w:szCs w:val="24"/>
        </w:rPr>
        <w:t>i.</w:t>
      </w:r>
      <w:r w:rsidRPr="005A420A">
        <w:rPr>
          <w:rFonts w:ascii="Times New Roman" w:hAnsi="Times New Roman"/>
          <w:sz w:val="24"/>
          <w:szCs w:val="24"/>
        </w:rPr>
        <w:t xml:space="preserve"> The evaluation report </w:t>
      </w:r>
      <w:r>
        <w:rPr>
          <w:rFonts w:ascii="Times New Roman" w:hAnsi="Times New Roman"/>
          <w:sz w:val="24"/>
          <w:szCs w:val="24"/>
        </w:rPr>
        <w:t xml:space="preserve">analyzes the state finances in recent years and </w:t>
      </w:r>
      <w:r w:rsidRPr="005A420A">
        <w:rPr>
          <w:rFonts w:ascii="Times New Roman" w:hAnsi="Times New Roman"/>
          <w:sz w:val="24"/>
          <w:szCs w:val="24"/>
        </w:rPr>
        <w:t xml:space="preserve">summarizes the key conclusions and lessons of fiscal management for </w:t>
      </w:r>
      <w:r>
        <w:rPr>
          <w:rFonts w:ascii="Times New Roman" w:hAnsi="Times New Roman"/>
          <w:sz w:val="24"/>
          <w:szCs w:val="24"/>
        </w:rPr>
        <w:t xml:space="preserve">the fiscal year 2019-20. </w:t>
      </w:r>
      <w:r w:rsidRPr="005A420A">
        <w:rPr>
          <w:rFonts w:ascii="Times New Roman" w:hAnsi="Times New Roman"/>
          <w:sz w:val="24"/>
          <w:szCs w:val="24"/>
        </w:rPr>
        <w:t xml:space="preserve">In addition to highlighting state’s compliance to fiscal responsibility act targets, the report contains broad trend of fiscal management. </w:t>
      </w:r>
      <w:r w:rsidR="00EB4167" w:rsidRPr="00EB4167">
        <w:rPr>
          <w:rFonts w:ascii="Times New Roman" w:eastAsiaTheme="minorHAnsi" w:hAnsi="Times New Roman"/>
          <w:sz w:val="24"/>
          <w:szCs w:val="24"/>
        </w:rPr>
        <w:t>The evaluation aims to address following issues pertaining to state finances in general and fiscal responsibility legislation in particular;</w:t>
      </w:r>
    </w:p>
    <w:p w:rsidR="00EB4167" w:rsidRPr="00EB4167" w:rsidRDefault="00EB4167" w:rsidP="00EB4167">
      <w:pPr>
        <w:numPr>
          <w:ilvl w:val="0"/>
          <w:numId w:val="5"/>
        </w:numPr>
        <w:spacing w:after="0" w:line="360" w:lineRule="auto"/>
        <w:contextualSpacing/>
        <w:jc w:val="both"/>
        <w:rPr>
          <w:rFonts w:ascii="Times New Roman" w:eastAsia="Times New Roman" w:hAnsi="Times New Roman"/>
          <w:sz w:val="24"/>
          <w:szCs w:val="24"/>
        </w:rPr>
      </w:pPr>
      <w:r w:rsidRPr="00EB4167">
        <w:rPr>
          <w:rFonts w:ascii="Times New Roman" w:eastAsia="Times New Roman" w:hAnsi="Times New Roman"/>
          <w:sz w:val="24"/>
          <w:szCs w:val="24"/>
        </w:rPr>
        <w:t>Compliance of the State Government to the provisions of FRBM Act in the fiscal year</w:t>
      </w:r>
      <w:r>
        <w:rPr>
          <w:rFonts w:ascii="Times New Roman" w:eastAsia="Times New Roman" w:hAnsi="Times New Roman"/>
          <w:sz w:val="24"/>
          <w:szCs w:val="24"/>
        </w:rPr>
        <w:t xml:space="preserve"> </w:t>
      </w:r>
      <w:r w:rsidRPr="00EB4167">
        <w:rPr>
          <w:rFonts w:ascii="Times New Roman" w:eastAsia="Times New Roman" w:hAnsi="Times New Roman"/>
          <w:sz w:val="24"/>
          <w:szCs w:val="24"/>
        </w:rPr>
        <w:t>201</w:t>
      </w:r>
      <w:r w:rsidR="0095494F">
        <w:rPr>
          <w:rFonts w:ascii="Times New Roman" w:eastAsia="Times New Roman" w:hAnsi="Times New Roman"/>
          <w:sz w:val="24"/>
          <w:szCs w:val="24"/>
        </w:rPr>
        <w:t>9-20</w:t>
      </w:r>
      <w:r w:rsidRPr="00EB4167">
        <w:rPr>
          <w:rFonts w:ascii="Times New Roman" w:eastAsia="Times New Roman" w:hAnsi="Times New Roman"/>
          <w:sz w:val="24"/>
          <w:szCs w:val="24"/>
        </w:rPr>
        <w:t xml:space="preserve">. These include fiscal targets relating to deficit, debt, and other fiscal variables as specified in the Act. </w:t>
      </w:r>
    </w:p>
    <w:p w:rsidR="00EB4167" w:rsidRPr="00EB4167" w:rsidRDefault="00EB4167" w:rsidP="00EB4167">
      <w:pPr>
        <w:numPr>
          <w:ilvl w:val="0"/>
          <w:numId w:val="5"/>
        </w:numPr>
        <w:spacing w:after="0" w:line="360" w:lineRule="auto"/>
        <w:contextualSpacing/>
        <w:jc w:val="both"/>
        <w:rPr>
          <w:rFonts w:ascii="Times New Roman" w:eastAsia="Times New Roman" w:hAnsi="Times New Roman"/>
          <w:sz w:val="24"/>
          <w:szCs w:val="24"/>
        </w:rPr>
      </w:pPr>
      <w:r w:rsidRPr="00EB4167">
        <w:rPr>
          <w:rFonts w:ascii="Times New Roman" w:eastAsia="Times New Roman" w:hAnsi="Times New Roman"/>
          <w:sz w:val="24"/>
          <w:szCs w:val="24"/>
        </w:rPr>
        <w:t xml:space="preserve"> Assessment of macroeconomic outlook that includes broad composition of gross state domestic product, contribution of various sectors to the state income, and growth perspective. The FRBM Act calls upon the state to prepare a macroeconomic outlook along with its medium - term fiscal plan (MTFP).</w:t>
      </w:r>
    </w:p>
    <w:p w:rsidR="00EB4167" w:rsidRPr="00EB4167" w:rsidRDefault="00EB4167" w:rsidP="00EB4167">
      <w:pPr>
        <w:numPr>
          <w:ilvl w:val="0"/>
          <w:numId w:val="5"/>
        </w:numPr>
        <w:spacing w:after="0" w:line="360" w:lineRule="auto"/>
        <w:contextualSpacing/>
        <w:jc w:val="both"/>
        <w:rPr>
          <w:rFonts w:ascii="Times New Roman" w:eastAsia="Times New Roman" w:hAnsi="Times New Roman"/>
          <w:sz w:val="24"/>
          <w:szCs w:val="24"/>
        </w:rPr>
      </w:pPr>
      <w:r w:rsidRPr="00EB4167">
        <w:rPr>
          <w:rFonts w:ascii="Times New Roman" w:eastAsia="Times New Roman" w:hAnsi="Times New Roman"/>
          <w:sz w:val="24"/>
          <w:szCs w:val="24"/>
        </w:rPr>
        <w:t>Assessment of state finances in terms of revenue effort, central transfers, spending pattern, and debt management.  Assessment of fiscal management in these years provides a context and background to comprehend the response of the state government to the requirements of fiscal responsibility act given the availability of resources and commitments.</w:t>
      </w:r>
    </w:p>
    <w:p w:rsidR="00EB4167" w:rsidRPr="00EB4167" w:rsidRDefault="00EB4167" w:rsidP="00EB4167">
      <w:pPr>
        <w:numPr>
          <w:ilvl w:val="0"/>
          <w:numId w:val="5"/>
        </w:numPr>
        <w:spacing w:after="0" w:line="360" w:lineRule="auto"/>
        <w:contextualSpacing/>
        <w:jc w:val="both"/>
        <w:rPr>
          <w:rFonts w:ascii="Times New Roman" w:eastAsia="Times New Roman" w:hAnsi="Times New Roman"/>
          <w:sz w:val="24"/>
          <w:szCs w:val="24"/>
        </w:rPr>
      </w:pPr>
      <w:r w:rsidRPr="00EB4167">
        <w:rPr>
          <w:rFonts w:ascii="Times New Roman" w:eastAsia="Times New Roman" w:hAnsi="Times New Roman"/>
          <w:sz w:val="24"/>
          <w:szCs w:val="24"/>
        </w:rPr>
        <w:t>Evaluation of credibility of state budget in terms of its budget projections and outturns, both on revenue and spending side.</w:t>
      </w:r>
    </w:p>
    <w:p w:rsidR="00EB4167" w:rsidRPr="00EB4167" w:rsidRDefault="00EB4167" w:rsidP="00EB4167">
      <w:pPr>
        <w:numPr>
          <w:ilvl w:val="0"/>
          <w:numId w:val="5"/>
        </w:numPr>
        <w:spacing w:after="0" w:line="360" w:lineRule="auto"/>
        <w:contextualSpacing/>
        <w:jc w:val="both"/>
        <w:rPr>
          <w:rFonts w:ascii="Times New Roman" w:eastAsia="Times New Roman" w:hAnsi="Times New Roman"/>
          <w:sz w:val="24"/>
          <w:szCs w:val="24"/>
        </w:rPr>
      </w:pPr>
      <w:r w:rsidRPr="00EB4167">
        <w:rPr>
          <w:rFonts w:ascii="Times New Roman" w:eastAsia="Times New Roman" w:hAnsi="Times New Roman"/>
          <w:sz w:val="24"/>
          <w:szCs w:val="24"/>
        </w:rPr>
        <w:t>While assessing the compliance of the state to the provision of the FRBM Act, the report reviews the state’s adherence to fiscal management principles and transparency requirements enunciated in the Act.</w:t>
      </w:r>
    </w:p>
    <w:p w:rsidR="00EB4167" w:rsidRDefault="00EB4167" w:rsidP="00FB5141">
      <w:pPr>
        <w:spacing w:after="0" w:line="360" w:lineRule="auto"/>
        <w:jc w:val="both"/>
        <w:rPr>
          <w:rFonts w:ascii="Times New Roman" w:hAnsi="Times New Roman"/>
          <w:sz w:val="24"/>
          <w:szCs w:val="24"/>
        </w:rPr>
      </w:pPr>
    </w:p>
    <w:p w:rsidR="00EB4167" w:rsidRPr="00BB0931" w:rsidRDefault="009D4D13" w:rsidP="0050681E">
      <w:pPr>
        <w:spacing w:after="0" w:line="360" w:lineRule="auto"/>
        <w:jc w:val="both"/>
        <w:rPr>
          <w:rFonts w:ascii="Times New Roman" w:hAnsi="Times New Roman"/>
          <w:sz w:val="24"/>
          <w:szCs w:val="24"/>
        </w:rPr>
      </w:pPr>
      <w:r>
        <w:rPr>
          <w:rFonts w:ascii="Times New Roman" w:hAnsi="Times New Roman"/>
          <w:sz w:val="24"/>
          <w:szCs w:val="24"/>
        </w:rPr>
        <w:t>L</w:t>
      </w:r>
      <w:r w:rsidRPr="0019426D">
        <w:rPr>
          <w:rFonts w:ascii="Times New Roman" w:hAnsi="Times New Roman"/>
          <w:sz w:val="24"/>
          <w:szCs w:val="24"/>
        </w:rPr>
        <w:t xml:space="preserve">imiting the fiscal deficit </w:t>
      </w:r>
      <w:r w:rsidR="00BB0931">
        <w:rPr>
          <w:rFonts w:ascii="Times New Roman" w:hAnsi="Times New Roman"/>
          <w:sz w:val="24"/>
          <w:szCs w:val="24"/>
        </w:rPr>
        <w:t xml:space="preserve">to </w:t>
      </w:r>
      <w:r w:rsidRPr="0019426D">
        <w:rPr>
          <w:rFonts w:ascii="Times New Roman" w:hAnsi="Times New Roman"/>
          <w:sz w:val="24"/>
          <w:szCs w:val="24"/>
        </w:rPr>
        <w:t>targeted level to ensure sustainable level of debt</w:t>
      </w:r>
      <w:r>
        <w:rPr>
          <w:rFonts w:ascii="Times New Roman" w:hAnsi="Times New Roman"/>
          <w:sz w:val="24"/>
          <w:szCs w:val="24"/>
        </w:rPr>
        <w:t xml:space="preserve"> has remained at core of the Act</w:t>
      </w:r>
      <w:r w:rsidRPr="0019426D">
        <w:rPr>
          <w:rFonts w:ascii="Times New Roman" w:hAnsi="Times New Roman"/>
          <w:sz w:val="24"/>
          <w:szCs w:val="24"/>
        </w:rPr>
        <w:t xml:space="preserve">. </w:t>
      </w:r>
      <w:r w:rsidR="0033749C">
        <w:rPr>
          <w:rFonts w:ascii="Times New Roman" w:hAnsi="Times New Roman"/>
          <w:sz w:val="24"/>
          <w:szCs w:val="24"/>
        </w:rPr>
        <w:t>M</w:t>
      </w:r>
      <w:r w:rsidRPr="0019426D">
        <w:rPr>
          <w:rFonts w:ascii="Times New Roman" w:hAnsi="Times New Roman"/>
          <w:sz w:val="24"/>
          <w:szCs w:val="24"/>
        </w:rPr>
        <w:t>aintain</w:t>
      </w:r>
      <w:r w:rsidR="0033749C">
        <w:rPr>
          <w:rFonts w:ascii="Times New Roman" w:hAnsi="Times New Roman"/>
          <w:sz w:val="24"/>
          <w:szCs w:val="24"/>
        </w:rPr>
        <w:t>ing</w:t>
      </w:r>
      <w:r w:rsidR="00FB5141">
        <w:rPr>
          <w:rFonts w:ascii="Times New Roman" w:hAnsi="Times New Roman"/>
          <w:sz w:val="24"/>
          <w:szCs w:val="24"/>
        </w:rPr>
        <w:t xml:space="preserve"> </w:t>
      </w:r>
      <w:r w:rsidRPr="0019426D">
        <w:rPr>
          <w:rFonts w:ascii="Times New Roman" w:hAnsi="Times New Roman"/>
          <w:sz w:val="24"/>
          <w:szCs w:val="24"/>
        </w:rPr>
        <w:t>debt stock at a sustainable level, us</w:t>
      </w:r>
      <w:r w:rsidR="0033749C">
        <w:rPr>
          <w:rFonts w:ascii="Times New Roman" w:hAnsi="Times New Roman"/>
          <w:sz w:val="24"/>
          <w:szCs w:val="24"/>
        </w:rPr>
        <w:t xml:space="preserve">ing </w:t>
      </w:r>
      <w:r w:rsidRPr="0019426D">
        <w:rPr>
          <w:rFonts w:ascii="Times New Roman" w:hAnsi="Times New Roman"/>
          <w:sz w:val="24"/>
          <w:szCs w:val="24"/>
        </w:rPr>
        <w:t>borrowed funds for productive use, pursu</w:t>
      </w:r>
      <w:r w:rsidR="0033749C">
        <w:rPr>
          <w:rFonts w:ascii="Times New Roman" w:hAnsi="Times New Roman"/>
          <w:sz w:val="24"/>
          <w:szCs w:val="24"/>
        </w:rPr>
        <w:t xml:space="preserve">ing </w:t>
      </w:r>
      <w:r w:rsidRPr="0019426D">
        <w:rPr>
          <w:rFonts w:ascii="Times New Roman" w:hAnsi="Times New Roman"/>
          <w:sz w:val="24"/>
          <w:szCs w:val="24"/>
        </w:rPr>
        <w:t>tax policies with due regard to economic efficiency, pursu</w:t>
      </w:r>
      <w:r w:rsidR="0033749C">
        <w:rPr>
          <w:rFonts w:ascii="Times New Roman" w:hAnsi="Times New Roman"/>
          <w:sz w:val="24"/>
          <w:szCs w:val="24"/>
        </w:rPr>
        <w:t xml:space="preserve">ing </w:t>
      </w:r>
      <w:r w:rsidRPr="0019426D">
        <w:rPr>
          <w:rFonts w:ascii="Times New Roman" w:hAnsi="Times New Roman"/>
          <w:sz w:val="24"/>
          <w:szCs w:val="24"/>
        </w:rPr>
        <w:t>expenditure policies to provide impetus to economic growth, and formulat</w:t>
      </w:r>
      <w:r w:rsidR="0033749C">
        <w:rPr>
          <w:rFonts w:ascii="Times New Roman" w:hAnsi="Times New Roman"/>
          <w:sz w:val="24"/>
          <w:szCs w:val="24"/>
        </w:rPr>
        <w:t xml:space="preserve">ing </w:t>
      </w:r>
      <w:r w:rsidRPr="0019426D">
        <w:rPr>
          <w:rFonts w:ascii="Times New Roman" w:hAnsi="Times New Roman"/>
          <w:sz w:val="24"/>
          <w:szCs w:val="24"/>
        </w:rPr>
        <w:t xml:space="preserve">a realistic budget </w:t>
      </w:r>
      <w:r w:rsidRPr="0019426D">
        <w:rPr>
          <w:rFonts w:ascii="Times New Roman" w:hAnsi="Times New Roman"/>
          <w:sz w:val="24"/>
          <w:szCs w:val="24"/>
        </w:rPr>
        <w:lastRenderedPageBreak/>
        <w:t>to minimize deviations during the course of the year</w:t>
      </w:r>
      <w:r w:rsidR="0033749C">
        <w:rPr>
          <w:rFonts w:ascii="Times New Roman" w:hAnsi="Times New Roman"/>
          <w:sz w:val="24"/>
          <w:szCs w:val="24"/>
        </w:rPr>
        <w:t xml:space="preserve"> are the major features of the fiscal management principles</w:t>
      </w:r>
      <w:r w:rsidRPr="0019426D">
        <w:rPr>
          <w:rFonts w:ascii="Times New Roman" w:hAnsi="Times New Roman"/>
          <w:sz w:val="24"/>
          <w:szCs w:val="24"/>
        </w:rPr>
        <w:t xml:space="preserve">. </w:t>
      </w:r>
      <w:r w:rsidR="00F3637C">
        <w:rPr>
          <w:rFonts w:ascii="Times New Roman" w:hAnsi="Times New Roman"/>
          <w:sz w:val="24"/>
          <w:szCs w:val="24"/>
        </w:rPr>
        <w:t xml:space="preserve">The budget management in terms of budget projection has to be unbiased to avoid </w:t>
      </w:r>
      <w:r w:rsidR="00F3637C" w:rsidRPr="00BB0931">
        <w:rPr>
          <w:rFonts w:ascii="Times New Roman" w:hAnsi="Times New Roman"/>
          <w:sz w:val="24"/>
          <w:szCs w:val="24"/>
        </w:rPr>
        <w:t xml:space="preserve">discrepancies in flow of funds to programs. </w:t>
      </w:r>
    </w:p>
    <w:p w:rsidR="00EB4167" w:rsidRPr="00BB0931" w:rsidRDefault="00EB4167" w:rsidP="0050681E">
      <w:pPr>
        <w:spacing w:after="0" w:line="360" w:lineRule="auto"/>
        <w:jc w:val="both"/>
        <w:rPr>
          <w:rFonts w:ascii="Times New Roman" w:hAnsi="Times New Roman"/>
          <w:sz w:val="24"/>
          <w:szCs w:val="24"/>
        </w:rPr>
      </w:pPr>
    </w:p>
    <w:p w:rsidR="004F0A17" w:rsidRPr="00BB0931" w:rsidRDefault="00DD631F" w:rsidP="009D4D13">
      <w:pPr>
        <w:spacing w:after="0" w:line="360" w:lineRule="auto"/>
        <w:jc w:val="both"/>
        <w:rPr>
          <w:rFonts w:ascii="Times New Roman" w:eastAsia="Times New Roman" w:hAnsi="Times New Roman"/>
          <w:sz w:val="24"/>
          <w:szCs w:val="24"/>
        </w:rPr>
      </w:pPr>
      <w:r>
        <w:rPr>
          <w:rFonts w:ascii="Times New Roman" w:hAnsi="Times New Roman"/>
          <w:sz w:val="24"/>
          <w:szCs w:val="24"/>
        </w:rPr>
        <w:t xml:space="preserve">The report is based on published fiscal data from state budgets, finance accounts, appropriation accounts, and </w:t>
      </w:r>
      <w:r w:rsidR="00EB4167" w:rsidRPr="00BB0931">
        <w:rPr>
          <w:rFonts w:ascii="Times New Roman" w:hAnsi="Times New Roman"/>
          <w:sz w:val="24"/>
          <w:szCs w:val="24"/>
        </w:rPr>
        <w:t>CAG reports</w:t>
      </w:r>
      <w:r>
        <w:rPr>
          <w:rFonts w:ascii="Times New Roman" w:hAnsi="Times New Roman"/>
          <w:sz w:val="24"/>
          <w:szCs w:val="24"/>
        </w:rPr>
        <w:t xml:space="preserve"> of relevant years. The report also used </w:t>
      </w:r>
      <w:r w:rsidR="00EB4167" w:rsidRPr="00BB0931">
        <w:rPr>
          <w:rFonts w:ascii="Times New Roman" w:hAnsi="Times New Roman"/>
          <w:sz w:val="24"/>
          <w:szCs w:val="24"/>
        </w:rPr>
        <w:t xml:space="preserve">other socio-economic data </w:t>
      </w:r>
      <w:r>
        <w:rPr>
          <w:rFonts w:ascii="Times New Roman" w:hAnsi="Times New Roman"/>
          <w:sz w:val="24"/>
          <w:szCs w:val="24"/>
        </w:rPr>
        <w:t xml:space="preserve">published by the state government. </w:t>
      </w:r>
      <w:r w:rsidR="00EB4167" w:rsidRPr="00BB0931">
        <w:rPr>
          <w:rFonts w:ascii="Times New Roman" w:eastAsia="Times New Roman" w:hAnsi="Times New Roman"/>
          <w:sz w:val="24"/>
          <w:szCs w:val="24"/>
        </w:rPr>
        <w:t>The department of finance provided data and information on state finances for this study and gave an overall perspective on the state fiscal management including revenue receipts trends, debt management, resource allocations to different sectors, and achievement of FRBM fiscal targets. The study also benefited from the inputs provided by the spending departments.</w:t>
      </w:r>
    </w:p>
    <w:p w:rsidR="00EB4167" w:rsidRPr="00BB0931" w:rsidRDefault="00EB4167" w:rsidP="009D4D13">
      <w:pPr>
        <w:spacing w:after="0" w:line="360" w:lineRule="auto"/>
        <w:jc w:val="both"/>
        <w:rPr>
          <w:rFonts w:ascii="Times New Roman" w:hAnsi="Times New Roman"/>
          <w:sz w:val="24"/>
          <w:szCs w:val="24"/>
        </w:rPr>
      </w:pPr>
    </w:p>
    <w:p w:rsidR="009D4D13" w:rsidRDefault="009D4D13" w:rsidP="003700CD">
      <w:pPr>
        <w:spacing w:after="0" w:line="360" w:lineRule="auto"/>
        <w:jc w:val="both"/>
        <w:rPr>
          <w:rFonts w:ascii="Times New Roman" w:hAnsi="Times New Roman"/>
          <w:sz w:val="24"/>
          <w:szCs w:val="24"/>
        </w:rPr>
      </w:pPr>
      <w:r w:rsidRPr="00BB0931">
        <w:rPr>
          <w:rFonts w:ascii="Times New Roman" w:hAnsi="Times New Roman"/>
          <w:sz w:val="24"/>
          <w:szCs w:val="24"/>
        </w:rPr>
        <w:t xml:space="preserve">The </w:t>
      </w:r>
      <w:r w:rsidR="00131C26" w:rsidRPr="00BB0931">
        <w:rPr>
          <w:rFonts w:ascii="Times New Roman" w:hAnsi="Times New Roman"/>
          <w:sz w:val="24"/>
          <w:szCs w:val="24"/>
        </w:rPr>
        <w:t xml:space="preserve">rest of the </w:t>
      </w:r>
      <w:r w:rsidRPr="00BB0931">
        <w:rPr>
          <w:rFonts w:ascii="Times New Roman" w:hAnsi="Times New Roman"/>
          <w:sz w:val="24"/>
          <w:szCs w:val="24"/>
        </w:rPr>
        <w:t xml:space="preserve">report is organized as follows. Section </w:t>
      </w:r>
      <w:r w:rsidR="00BB0931">
        <w:rPr>
          <w:rFonts w:ascii="Times New Roman" w:hAnsi="Times New Roman"/>
          <w:sz w:val="24"/>
          <w:szCs w:val="24"/>
        </w:rPr>
        <w:t>2</w:t>
      </w:r>
      <w:r w:rsidRPr="00BB0931">
        <w:rPr>
          <w:rFonts w:ascii="Times New Roman" w:hAnsi="Times New Roman"/>
          <w:sz w:val="24"/>
          <w:szCs w:val="24"/>
        </w:rPr>
        <w:t xml:space="preserve"> provides an overall assessment of macroeconomic outlook and sector</w:t>
      </w:r>
      <w:r w:rsidR="003700CD" w:rsidRPr="00BB0931">
        <w:rPr>
          <w:rFonts w:ascii="Times New Roman" w:hAnsi="Times New Roman"/>
          <w:sz w:val="24"/>
          <w:szCs w:val="24"/>
        </w:rPr>
        <w:t xml:space="preserve"> </w:t>
      </w:r>
      <w:r w:rsidRPr="00BB0931">
        <w:rPr>
          <w:rFonts w:ascii="Times New Roman" w:hAnsi="Times New Roman"/>
          <w:sz w:val="24"/>
          <w:szCs w:val="24"/>
        </w:rPr>
        <w:t xml:space="preserve">composition of GSDP. Section </w:t>
      </w:r>
      <w:r w:rsidR="00BB0931">
        <w:rPr>
          <w:rFonts w:ascii="Times New Roman" w:hAnsi="Times New Roman"/>
          <w:sz w:val="24"/>
          <w:szCs w:val="24"/>
        </w:rPr>
        <w:t>3</w:t>
      </w:r>
      <w:r w:rsidRPr="00BB0931">
        <w:rPr>
          <w:rFonts w:ascii="Times New Roman" w:hAnsi="Times New Roman"/>
          <w:sz w:val="24"/>
          <w:szCs w:val="24"/>
        </w:rPr>
        <w:t xml:space="preserve"> contains analysis on state finances in recent years. Compliance of the State Government to the fiscal targets</w:t>
      </w:r>
      <w:r w:rsidRPr="00131C26">
        <w:rPr>
          <w:rFonts w:ascii="Times New Roman" w:hAnsi="Times New Roman"/>
          <w:sz w:val="24"/>
          <w:szCs w:val="24"/>
        </w:rPr>
        <w:t xml:space="preserve"> and fiscal management principles under the Sikkim FRBM Act are </w:t>
      </w:r>
      <w:r w:rsidR="003700CD" w:rsidRPr="00131C26">
        <w:rPr>
          <w:rFonts w:ascii="Times New Roman" w:hAnsi="Times New Roman"/>
          <w:sz w:val="24"/>
          <w:szCs w:val="24"/>
        </w:rPr>
        <w:t xml:space="preserve">included </w:t>
      </w:r>
      <w:r w:rsidRPr="00131C26">
        <w:rPr>
          <w:rFonts w:ascii="Times New Roman" w:hAnsi="Times New Roman"/>
          <w:sz w:val="24"/>
          <w:szCs w:val="24"/>
        </w:rPr>
        <w:t xml:space="preserve">in </w:t>
      </w:r>
      <w:r w:rsidR="00135EB9">
        <w:rPr>
          <w:rFonts w:ascii="Times New Roman" w:hAnsi="Times New Roman"/>
          <w:sz w:val="24"/>
          <w:szCs w:val="24"/>
        </w:rPr>
        <w:t>S</w:t>
      </w:r>
      <w:r w:rsidRPr="00131C26">
        <w:rPr>
          <w:rFonts w:ascii="Times New Roman" w:hAnsi="Times New Roman"/>
          <w:sz w:val="24"/>
          <w:szCs w:val="24"/>
        </w:rPr>
        <w:t xml:space="preserve">ection </w:t>
      </w:r>
      <w:r w:rsidR="00BB0931">
        <w:rPr>
          <w:rFonts w:ascii="Times New Roman" w:hAnsi="Times New Roman"/>
          <w:sz w:val="24"/>
          <w:szCs w:val="24"/>
        </w:rPr>
        <w:t>4</w:t>
      </w:r>
      <w:r w:rsidRPr="00131C26">
        <w:rPr>
          <w:rFonts w:ascii="Times New Roman" w:hAnsi="Times New Roman"/>
          <w:sz w:val="24"/>
          <w:szCs w:val="24"/>
        </w:rPr>
        <w:t>. Issues related to revenue mobilization and expenditure pattern for the year 201</w:t>
      </w:r>
      <w:r w:rsidR="00CC2721">
        <w:rPr>
          <w:rFonts w:ascii="Times New Roman" w:hAnsi="Times New Roman"/>
          <w:sz w:val="24"/>
          <w:szCs w:val="24"/>
        </w:rPr>
        <w:t>9</w:t>
      </w:r>
      <w:r w:rsidR="00EB4167">
        <w:rPr>
          <w:rFonts w:ascii="Times New Roman" w:hAnsi="Times New Roman"/>
          <w:sz w:val="24"/>
          <w:szCs w:val="24"/>
        </w:rPr>
        <w:t>-</w:t>
      </w:r>
      <w:r w:rsidR="00CC2721">
        <w:rPr>
          <w:rFonts w:ascii="Times New Roman" w:hAnsi="Times New Roman"/>
          <w:sz w:val="24"/>
          <w:szCs w:val="24"/>
        </w:rPr>
        <w:t>20</w:t>
      </w:r>
      <w:r w:rsidRPr="00131C26">
        <w:rPr>
          <w:rFonts w:ascii="Times New Roman" w:hAnsi="Times New Roman"/>
          <w:sz w:val="24"/>
          <w:szCs w:val="24"/>
        </w:rPr>
        <w:t xml:space="preserve"> as compared to the budget provisions are analyzed in </w:t>
      </w:r>
      <w:r w:rsidR="00EB65A3">
        <w:rPr>
          <w:rFonts w:ascii="Times New Roman" w:hAnsi="Times New Roman"/>
          <w:sz w:val="24"/>
          <w:szCs w:val="24"/>
        </w:rPr>
        <w:t xml:space="preserve">this section. </w:t>
      </w:r>
      <w:r w:rsidRPr="00131C26">
        <w:rPr>
          <w:rFonts w:ascii="Times New Roman" w:hAnsi="Times New Roman"/>
          <w:sz w:val="24"/>
          <w:szCs w:val="24"/>
        </w:rPr>
        <w:t xml:space="preserve">Concluding observations are contained in Section </w:t>
      </w:r>
      <w:r w:rsidR="00EB65A3">
        <w:rPr>
          <w:rFonts w:ascii="Times New Roman" w:hAnsi="Times New Roman"/>
          <w:sz w:val="24"/>
          <w:szCs w:val="24"/>
        </w:rPr>
        <w:t>5</w:t>
      </w:r>
      <w:r w:rsidRPr="00131C26">
        <w:rPr>
          <w:rFonts w:ascii="Times New Roman" w:hAnsi="Times New Roman"/>
          <w:sz w:val="24"/>
          <w:szCs w:val="24"/>
        </w:rPr>
        <w:t>.</w:t>
      </w:r>
    </w:p>
    <w:p w:rsidR="00F7550A" w:rsidRDefault="00F7550A" w:rsidP="003700CD">
      <w:pPr>
        <w:spacing w:after="0" w:line="360" w:lineRule="auto"/>
        <w:jc w:val="both"/>
        <w:rPr>
          <w:rFonts w:ascii="Times New Roman" w:hAnsi="Times New Roman"/>
          <w:sz w:val="24"/>
          <w:szCs w:val="24"/>
        </w:rPr>
      </w:pPr>
    </w:p>
    <w:p w:rsidR="00120C57" w:rsidRDefault="00120C57" w:rsidP="003700CD">
      <w:pPr>
        <w:spacing w:after="0" w:line="360" w:lineRule="auto"/>
        <w:jc w:val="both"/>
        <w:rPr>
          <w:rFonts w:ascii="Times New Roman" w:hAnsi="Times New Roman"/>
          <w:sz w:val="24"/>
          <w:szCs w:val="24"/>
        </w:rPr>
      </w:pPr>
    </w:p>
    <w:p w:rsidR="000C7EF4" w:rsidRDefault="000C7EF4" w:rsidP="003700CD">
      <w:pPr>
        <w:spacing w:after="0" w:line="360" w:lineRule="auto"/>
        <w:jc w:val="both"/>
        <w:rPr>
          <w:rFonts w:ascii="Times New Roman" w:hAnsi="Times New Roman"/>
          <w:sz w:val="24"/>
          <w:szCs w:val="24"/>
        </w:rPr>
      </w:pPr>
    </w:p>
    <w:p w:rsidR="00120C57" w:rsidRDefault="00120C57"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0C7EF4" w:rsidRDefault="000C7EF4"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226AF9" w:rsidRDefault="00226AF9" w:rsidP="003700CD">
      <w:pPr>
        <w:spacing w:after="0" w:line="360" w:lineRule="auto"/>
        <w:jc w:val="both"/>
        <w:rPr>
          <w:rFonts w:ascii="Times New Roman" w:hAnsi="Times New Roman"/>
          <w:sz w:val="24"/>
          <w:szCs w:val="24"/>
        </w:rPr>
      </w:pPr>
    </w:p>
    <w:p w:rsidR="00BB0931" w:rsidRDefault="00ED6302" w:rsidP="00ED6302">
      <w:pPr>
        <w:tabs>
          <w:tab w:val="left" w:pos="1567"/>
        </w:tabs>
        <w:spacing w:after="0" w:line="360" w:lineRule="auto"/>
        <w:jc w:val="both"/>
        <w:rPr>
          <w:rFonts w:ascii="Times New Roman" w:hAnsi="Times New Roman"/>
          <w:sz w:val="24"/>
          <w:szCs w:val="24"/>
        </w:rPr>
      </w:pPr>
      <w:r>
        <w:rPr>
          <w:rFonts w:ascii="Times New Roman" w:hAnsi="Times New Roman"/>
          <w:sz w:val="24"/>
          <w:szCs w:val="24"/>
        </w:rPr>
        <w:tab/>
      </w:r>
    </w:p>
    <w:p w:rsidR="00ED6302" w:rsidRDefault="00ED6302" w:rsidP="00ED6302">
      <w:pPr>
        <w:tabs>
          <w:tab w:val="left" w:pos="1567"/>
        </w:tabs>
        <w:spacing w:after="0" w:line="360" w:lineRule="auto"/>
        <w:jc w:val="both"/>
        <w:rPr>
          <w:rFonts w:ascii="Times New Roman" w:hAnsi="Times New Roman"/>
          <w:sz w:val="24"/>
          <w:szCs w:val="24"/>
        </w:rPr>
      </w:pPr>
    </w:p>
    <w:p w:rsidR="00120C57" w:rsidRDefault="00120C57" w:rsidP="003700CD">
      <w:pPr>
        <w:spacing w:after="0" w:line="360" w:lineRule="auto"/>
        <w:jc w:val="both"/>
        <w:rPr>
          <w:rFonts w:ascii="Times New Roman" w:hAnsi="Times New Roman"/>
          <w:sz w:val="24"/>
          <w:szCs w:val="24"/>
        </w:rPr>
      </w:pPr>
    </w:p>
    <w:p w:rsidR="00A2196B" w:rsidRPr="00BB0931" w:rsidRDefault="00655A9B" w:rsidP="00807579">
      <w:pPr>
        <w:pStyle w:val="Title"/>
        <w:numPr>
          <w:ilvl w:val="0"/>
          <w:numId w:val="10"/>
        </w:numPr>
        <w:jc w:val="center"/>
        <w:rPr>
          <w:rFonts w:ascii="Times New Roman" w:hAnsi="Times New Roman" w:cs="Times New Roman"/>
          <w:b/>
          <w:sz w:val="48"/>
          <w:szCs w:val="48"/>
        </w:rPr>
      </w:pPr>
      <w:r>
        <w:rPr>
          <w:rFonts w:ascii="Times New Roman" w:hAnsi="Times New Roman" w:cs="Times New Roman"/>
          <w:b/>
          <w:sz w:val="48"/>
          <w:szCs w:val="48"/>
        </w:rPr>
        <w:lastRenderedPageBreak/>
        <w:t>Overview of the State Economy</w:t>
      </w:r>
    </w:p>
    <w:p w:rsidR="006C4ED0" w:rsidRDefault="006C4ED0" w:rsidP="00F7550A">
      <w:pPr>
        <w:spacing w:after="0" w:line="360" w:lineRule="auto"/>
        <w:jc w:val="both"/>
        <w:rPr>
          <w:rFonts w:ascii="Times New Roman" w:hAnsi="Times New Roman"/>
          <w:sz w:val="24"/>
          <w:szCs w:val="24"/>
        </w:rPr>
      </w:pPr>
    </w:p>
    <w:p w:rsidR="00005D06" w:rsidRDefault="002B1A97" w:rsidP="00F7550A">
      <w:pPr>
        <w:spacing w:after="0" w:line="360" w:lineRule="auto"/>
        <w:jc w:val="both"/>
        <w:rPr>
          <w:rFonts w:ascii="Times New Roman" w:hAnsi="Times New Roman"/>
          <w:sz w:val="24"/>
          <w:szCs w:val="24"/>
        </w:rPr>
      </w:pPr>
      <w:r>
        <w:rPr>
          <w:rFonts w:ascii="Times New Roman" w:hAnsi="Times New Roman"/>
          <w:sz w:val="24"/>
          <w:szCs w:val="24"/>
        </w:rPr>
        <w:t>S</w:t>
      </w:r>
      <w:r w:rsidR="00005D06">
        <w:rPr>
          <w:rFonts w:ascii="Times New Roman" w:hAnsi="Times New Roman"/>
          <w:sz w:val="24"/>
          <w:szCs w:val="24"/>
        </w:rPr>
        <w:t>lowdown in the national economy due to Covid-19 pandemic</w:t>
      </w:r>
      <w:r w:rsidR="002E7B27">
        <w:rPr>
          <w:rFonts w:ascii="Times New Roman" w:hAnsi="Times New Roman"/>
          <w:sz w:val="24"/>
          <w:szCs w:val="24"/>
        </w:rPr>
        <w:t xml:space="preserve"> in 2020-21 had its impact on fiscal management at the </w:t>
      </w:r>
      <w:r w:rsidR="003F32AE">
        <w:rPr>
          <w:rFonts w:ascii="Times New Roman" w:hAnsi="Times New Roman"/>
          <w:sz w:val="24"/>
          <w:szCs w:val="24"/>
        </w:rPr>
        <w:t xml:space="preserve">sub-national </w:t>
      </w:r>
      <w:r w:rsidR="002E7B27">
        <w:rPr>
          <w:rFonts w:ascii="Times New Roman" w:hAnsi="Times New Roman"/>
          <w:sz w:val="24"/>
          <w:szCs w:val="24"/>
        </w:rPr>
        <w:t xml:space="preserve">level. </w:t>
      </w:r>
      <w:r w:rsidR="002E7B27" w:rsidRPr="002E7B27">
        <w:rPr>
          <w:rFonts w:ascii="Times New Roman" w:hAnsi="Times New Roman"/>
          <w:sz w:val="24"/>
          <w:szCs w:val="24"/>
        </w:rPr>
        <w:t xml:space="preserve">The growth rate of gross domestic product (GDP) had </w:t>
      </w:r>
      <w:r w:rsidR="00393B8F">
        <w:rPr>
          <w:rFonts w:ascii="Times New Roman" w:hAnsi="Times New Roman"/>
          <w:sz w:val="24"/>
          <w:szCs w:val="24"/>
        </w:rPr>
        <w:t xml:space="preserve">already </w:t>
      </w:r>
      <w:r w:rsidR="002E7B27" w:rsidRPr="002E7B27">
        <w:rPr>
          <w:rFonts w:ascii="Times New Roman" w:hAnsi="Times New Roman"/>
          <w:sz w:val="24"/>
          <w:szCs w:val="24"/>
        </w:rPr>
        <w:t xml:space="preserve">decelerated </w:t>
      </w:r>
      <w:r w:rsidR="002E7B27">
        <w:rPr>
          <w:rFonts w:ascii="Times New Roman" w:hAnsi="Times New Roman"/>
          <w:sz w:val="24"/>
          <w:szCs w:val="24"/>
        </w:rPr>
        <w:t xml:space="preserve">before the </w:t>
      </w:r>
      <w:r w:rsidR="002E7B27" w:rsidRPr="002E7B27">
        <w:rPr>
          <w:rFonts w:ascii="Times New Roman" w:hAnsi="Times New Roman"/>
          <w:sz w:val="24"/>
          <w:szCs w:val="24"/>
        </w:rPr>
        <w:t>pandemic struck</w:t>
      </w:r>
      <w:r w:rsidR="002E7B27">
        <w:rPr>
          <w:rFonts w:ascii="Times New Roman" w:hAnsi="Times New Roman"/>
          <w:sz w:val="24"/>
          <w:szCs w:val="24"/>
        </w:rPr>
        <w:t>. The growth had declined from 6.5 percent in 2018-</w:t>
      </w:r>
      <w:r w:rsidR="003F32AE">
        <w:rPr>
          <w:rFonts w:ascii="Times New Roman" w:hAnsi="Times New Roman"/>
          <w:sz w:val="24"/>
          <w:szCs w:val="24"/>
        </w:rPr>
        <w:t>19</w:t>
      </w:r>
      <w:r w:rsidR="002E7B27">
        <w:rPr>
          <w:rFonts w:ascii="Times New Roman" w:hAnsi="Times New Roman"/>
          <w:sz w:val="24"/>
          <w:szCs w:val="24"/>
        </w:rPr>
        <w:t xml:space="preserve"> to 4 percent in 2019-20.</w:t>
      </w:r>
      <w:r w:rsidR="002E7B27" w:rsidRPr="002E7B27">
        <w:rPr>
          <w:rFonts w:ascii="Times New Roman" w:hAnsi="Times New Roman"/>
          <w:sz w:val="24"/>
          <w:szCs w:val="24"/>
        </w:rPr>
        <w:t xml:space="preserve"> </w:t>
      </w:r>
      <w:r w:rsidR="002E7B27">
        <w:rPr>
          <w:rFonts w:ascii="Times New Roman" w:hAnsi="Times New Roman"/>
          <w:sz w:val="24"/>
          <w:szCs w:val="24"/>
        </w:rPr>
        <w:t xml:space="preserve">As the </w:t>
      </w:r>
      <w:r w:rsidR="002E7B27" w:rsidRPr="00005D06">
        <w:rPr>
          <w:rFonts w:ascii="Times New Roman" w:hAnsi="Times New Roman"/>
          <w:sz w:val="24"/>
          <w:szCs w:val="24"/>
        </w:rPr>
        <w:t xml:space="preserve">growth of GDP </w:t>
      </w:r>
      <w:r w:rsidR="002E7B27">
        <w:rPr>
          <w:rFonts w:ascii="Times New Roman" w:hAnsi="Times New Roman"/>
          <w:sz w:val="24"/>
          <w:szCs w:val="24"/>
        </w:rPr>
        <w:t xml:space="preserve">has started picking up after since 2021-22, it is expected that </w:t>
      </w:r>
      <w:r w:rsidR="00393B8F">
        <w:rPr>
          <w:rFonts w:ascii="Times New Roman" w:hAnsi="Times New Roman"/>
          <w:sz w:val="24"/>
          <w:szCs w:val="24"/>
        </w:rPr>
        <w:t xml:space="preserve">higher national </w:t>
      </w:r>
      <w:r w:rsidR="003F32AE">
        <w:rPr>
          <w:rFonts w:ascii="Times New Roman" w:hAnsi="Times New Roman"/>
          <w:sz w:val="24"/>
          <w:szCs w:val="24"/>
        </w:rPr>
        <w:t xml:space="preserve">growth </w:t>
      </w:r>
      <w:r w:rsidR="002E7B27">
        <w:rPr>
          <w:rFonts w:ascii="Times New Roman" w:hAnsi="Times New Roman"/>
          <w:sz w:val="24"/>
          <w:szCs w:val="24"/>
        </w:rPr>
        <w:t>will h</w:t>
      </w:r>
      <w:r w:rsidR="002E7B27" w:rsidRPr="00005D06">
        <w:rPr>
          <w:rFonts w:ascii="Times New Roman" w:hAnsi="Times New Roman"/>
          <w:sz w:val="24"/>
          <w:szCs w:val="24"/>
        </w:rPr>
        <w:t>elp in developing sound fiscal strategy and ensure predictability of flow of funds</w:t>
      </w:r>
      <w:r w:rsidR="002E7B27">
        <w:rPr>
          <w:rFonts w:ascii="Times New Roman" w:hAnsi="Times New Roman"/>
          <w:sz w:val="24"/>
          <w:szCs w:val="24"/>
        </w:rPr>
        <w:t xml:space="preserve"> to states. </w:t>
      </w:r>
      <w:r w:rsidR="0059366F">
        <w:rPr>
          <w:rFonts w:ascii="Times New Roman" w:hAnsi="Times New Roman"/>
          <w:sz w:val="24"/>
          <w:szCs w:val="24"/>
        </w:rPr>
        <w:t>Predictability in fund flows to a state like Sikkim in the long run</w:t>
      </w:r>
      <w:r w:rsidR="002E7B27" w:rsidRPr="00005D06">
        <w:rPr>
          <w:rFonts w:ascii="Times New Roman" w:hAnsi="Times New Roman"/>
          <w:sz w:val="24"/>
          <w:szCs w:val="24"/>
        </w:rPr>
        <w:t xml:space="preserve"> </w:t>
      </w:r>
      <w:r w:rsidR="00393B8F">
        <w:rPr>
          <w:rFonts w:ascii="Times New Roman" w:hAnsi="Times New Roman"/>
          <w:sz w:val="24"/>
          <w:szCs w:val="24"/>
        </w:rPr>
        <w:t xml:space="preserve">facilitates </w:t>
      </w:r>
      <w:r w:rsidR="002E7B27" w:rsidRPr="00005D06">
        <w:rPr>
          <w:rFonts w:ascii="Times New Roman" w:hAnsi="Times New Roman"/>
          <w:sz w:val="24"/>
          <w:szCs w:val="24"/>
        </w:rPr>
        <w:t xml:space="preserve">building sound fiscal forecasting to support development </w:t>
      </w:r>
      <w:r w:rsidR="002E7B27">
        <w:rPr>
          <w:rFonts w:ascii="Times New Roman" w:hAnsi="Times New Roman"/>
          <w:sz w:val="24"/>
          <w:szCs w:val="24"/>
        </w:rPr>
        <w:t>process.</w:t>
      </w:r>
      <w:r w:rsidR="002E7B27" w:rsidRPr="00005D06">
        <w:rPr>
          <w:rFonts w:ascii="Times New Roman" w:hAnsi="Times New Roman"/>
          <w:sz w:val="24"/>
          <w:szCs w:val="24"/>
        </w:rPr>
        <w:t xml:space="preserve"> Growth of the economy serves as an accepted base for revenue generation effort</w:t>
      </w:r>
      <w:r w:rsidR="00393B8F">
        <w:rPr>
          <w:rFonts w:ascii="Times New Roman" w:hAnsi="Times New Roman"/>
          <w:sz w:val="24"/>
          <w:szCs w:val="24"/>
        </w:rPr>
        <w:t>.</w:t>
      </w:r>
      <w:r w:rsidR="002E7B27" w:rsidRPr="00005D06">
        <w:rPr>
          <w:rFonts w:ascii="Times New Roman" w:hAnsi="Times New Roman"/>
          <w:sz w:val="24"/>
          <w:szCs w:val="24"/>
        </w:rPr>
        <w:t xml:space="preserve"> </w:t>
      </w:r>
      <w:r w:rsidR="00393B8F">
        <w:rPr>
          <w:rFonts w:ascii="Times New Roman" w:hAnsi="Times New Roman"/>
          <w:sz w:val="24"/>
          <w:szCs w:val="24"/>
        </w:rPr>
        <w:t xml:space="preserve">Robust macro-fiscal projection is crucial to get </w:t>
      </w:r>
      <w:r w:rsidR="002E7B27" w:rsidRPr="00005D06">
        <w:rPr>
          <w:rFonts w:ascii="Times New Roman" w:hAnsi="Times New Roman"/>
          <w:sz w:val="24"/>
          <w:szCs w:val="24"/>
        </w:rPr>
        <w:t xml:space="preserve">an unbiased picture of resource </w:t>
      </w:r>
      <w:r w:rsidR="00393B8F" w:rsidRPr="00005D06">
        <w:rPr>
          <w:rFonts w:ascii="Times New Roman" w:hAnsi="Times New Roman"/>
          <w:sz w:val="24"/>
          <w:szCs w:val="24"/>
        </w:rPr>
        <w:t xml:space="preserve">envelope </w:t>
      </w:r>
      <w:r w:rsidR="00393B8F">
        <w:rPr>
          <w:rFonts w:ascii="Times New Roman" w:hAnsi="Times New Roman"/>
          <w:sz w:val="24"/>
          <w:szCs w:val="24"/>
        </w:rPr>
        <w:t xml:space="preserve">for the </w:t>
      </w:r>
      <w:r w:rsidR="002E7B27" w:rsidRPr="00005D06">
        <w:rPr>
          <w:rFonts w:ascii="Times New Roman" w:hAnsi="Times New Roman"/>
          <w:sz w:val="24"/>
          <w:szCs w:val="24"/>
        </w:rPr>
        <w:t xml:space="preserve">budget management process while taking allocation decisions. </w:t>
      </w:r>
      <w:r w:rsidR="0059366F">
        <w:rPr>
          <w:rFonts w:ascii="Times New Roman" w:hAnsi="Times New Roman"/>
          <w:sz w:val="24"/>
          <w:szCs w:val="24"/>
        </w:rPr>
        <w:t>A</w:t>
      </w:r>
      <w:r w:rsidR="00005D06" w:rsidRPr="00005D06">
        <w:rPr>
          <w:rFonts w:ascii="Times New Roman" w:hAnsi="Times New Roman"/>
          <w:sz w:val="24"/>
          <w:szCs w:val="24"/>
        </w:rPr>
        <w:t xml:space="preserve">ssessing macroeconomic outlook of </w:t>
      </w:r>
      <w:r w:rsidR="00005D06">
        <w:rPr>
          <w:rFonts w:ascii="Times New Roman" w:hAnsi="Times New Roman"/>
          <w:sz w:val="24"/>
          <w:szCs w:val="24"/>
        </w:rPr>
        <w:t xml:space="preserve">Sikkim </w:t>
      </w:r>
      <w:r w:rsidR="00005D06" w:rsidRPr="00005D06">
        <w:rPr>
          <w:rFonts w:ascii="Times New Roman" w:hAnsi="Times New Roman"/>
          <w:sz w:val="24"/>
          <w:szCs w:val="24"/>
        </w:rPr>
        <w:t>during 201</w:t>
      </w:r>
      <w:r w:rsidR="0059366F">
        <w:rPr>
          <w:rFonts w:ascii="Times New Roman" w:hAnsi="Times New Roman"/>
          <w:sz w:val="24"/>
          <w:szCs w:val="24"/>
        </w:rPr>
        <w:t>9</w:t>
      </w:r>
      <w:r w:rsidR="00393B8F">
        <w:rPr>
          <w:rFonts w:ascii="Times New Roman" w:hAnsi="Times New Roman"/>
          <w:sz w:val="24"/>
          <w:szCs w:val="24"/>
        </w:rPr>
        <w:t>-</w:t>
      </w:r>
      <w:r w:rsidR="0059366F">
        <w:rPr>
          <w:rFonts w:ascii="Times New Roman" w:hAnsi="Times New Roman"/>
          <w:sz w:val="24"/>
          <w:szCs w:val="24"/>
        </w:rPr>
        <w:t>20</w:t>
      </w:r>
      <w:r w:rsidR="00005D06" w:rsidRPr="00005D06">
        <w:rPr>
          <w:rFonts w:ascii="Times New Roman" w:hAnsi="Times New Roman"/>
          <w:sz w:val="24"/>
          <w:szCs w:val="24"/>
        </w:rPr>
        <w:t xml:space="preserve"> assumes significance to show the strength of the state economy to augment fiscal management process. </w:t>
      </w:r>
    </w:p>
    <w:p w:rsidR="00005D06" w:rsidRDefault="00005D06" w:rsidP="00F7550A">
      <w:pPr>
        <w:spacing w:after="0" w:line="360" w:lineRule="auto"/>
        <w:jc w:val="both"/>
        <w:rPr>
          <w:rFonts w:ascii="Times New Roman" w:hAnsi="Times New Roman"/>
          <w:sz w:val="24"/>
          <w:szCs w:val="24"/>
        </w:rPr>
      </w:pPr>
    </w:p>
    <w:p w:rsidR="00337605" w:rsidRDefault="001F24E5" w:rsidP="00337605">
      <w:pPr>
        <w:spacing w:after="0" w:line="360" w:lineRule="auto"/>
        <w:jc w:val="both"/>
        <w:rPr>
          <w:rFonts w:ascii="Times New Roman" w:hAnsi="Times New Roman"/>
          <w:sz w:val="24"/>
          <w:szCs w:val="24"/>
        </w:rPr>
      </w:pPr>
      <w:r>
        <w:rPr>
          <w:rFonts w:ascii="Times New Roman" w:hAnsi="Times New Roman"/>
          <w:sz w:val="24"/>
          <w:szCs w:val="24"/>
        </w:rPr>
        <w:t xml:space="preserve">Assessing macroeconomic outlook has been stipulated in the state FRBM Act.  This comes in the form of a statement containing </w:t>
      </w:r>
      <w:r w:rsidR="00005D06" w:rsidRPr="00005D06">
        <w:rPr>
          <w:rFonts w:ascii="Times New Roman" w:hAnsi="Times New Roman"/>
          <w:sz w:val="24"/>
          <w:szCs w:val="24"/>
        </w:rPr>
        <w:t xml:space="preserve">analysis of growth </w:t>
      </w:r>
      <w:r>
        <w:rPr>
          <w:rFonts w:ascii="Times New Roman" w:hAnsi="Times New Roman"/>
          <w:sz w:val="24"/>
          <w:szCs w:val="24"/>
        </w:rPr>
        <w:t xml:space="preserve">perspective </w:t>
      </w:r>
      <w:r w:rsidR="00005D06" w:rsidRPr="00005D06">
        <w:rPr>
          <w:rFonts w:ascii="Times New Roman" w:hAnsi="Times New Roman"/>
          <w:sz w:val="24"/>
          <w:szCs w:val="24"/>
        </w:rPr>
        <w:t xml:space="preserve">and sectoral composition of GSDP. </w:t>
      </w:r>
      <w:r>
        <w:rPr>
          <w:rFonts w:ascii="Times New Roman" w:hAnsi="Times New Roman"/>
          <w:sz w:val="24"/>
          <w:szCs w:val="24"/>
        </w:rPr>
        <w:t xml:space="preserve">Contribution of </w:t>
      </w:r>
      <w:r w:rsidRPr="005459AF">
        <w:rPr>
          <w:rFonts w:ascii="Times New Roman" w:hAnsi="Times New Roman"/>
          <w:sz w:val="24"/>
          <w:szCs w:val="24"/>
        </w:rPr>
        <w:t xml:space="preserve">various sectors to the </w:t>
      </w:r>
      <w:r>
        <w:rPr>
          <w:rFonts w:ascii="Times New Roman" w:hAnsi="Times New Roman"/>
          <w:sz w:val="24"/>
          <w:szCs w:val="24"/>
        </w:rPr>
        <w:t>s</w:t>
      </w:r>
      <w:r w:rsidRPr="005459AF">
        <w:rPr>
          <w:rFonts w:ascii="Times New Roman" w:hAnsi="Times New Roman"/>
          <w:sz w:val="24"/>
          <w:szCs w:val="24"/>
        </w:rPr>
        <w:t>tate economy</w:t>
      </w:r>
      <w:r>
        <w:rPr>
          <w:rFonts w:ascii="Times New Roman" w:hAnsi="Times New Roman"/>
          <w:sz w:val="24"/>
          <w:szCs w:val="24"/>
        </w:rPr>
        <w:t xml:space="preserve"> assumes significance in budget management process due their impact on revenue generation efforts. The fiscal variables like deficit and debt numbers are presented as percentage to GSDP to track their movements in the context of fiscal consolidation process.</w:t>
      </w:r>
      <w:r w:rsidR="00FE65DB">
        <w:rPr>
          <w:rFonts w:ascii="Times New Roman" w:hAnsi="Times New Roman"/>
          <w:sz w:val="24"/>
          <w:szCs w:val="24"/>
        </w:rPr>
        <w:t xml:space="preserve"> </w:t>
      </w:r>
      <w:r>
        <w:rPr>
          <w:rFonts w:ascii="Times New Roman" w:hAnsi="Times New Roman"/>
          <w:sz w:val="24"/>
          <w:szCs w:val="24"/>
        </w:rPr>
        <w:t xml:space="preserve">The Ministry of Finance, Government of India determines the </w:t>
      </w:r>
      <w:r w:rsidR="00FE65DB">
        <w:rPr>
          <w:rFonts w:ascii="Times New Roman" w:hAnsi="Times New Roman"/>
          <w:sz w:val="24"/>
          <w:szCs w:val="24"/>
        </w:rPr>
        <w:t>borrowing limit of the state government as a proportion to state GSDP</w:t>
      </w:r>
      <w:r w:rsidR="00D639D4">
        <w:rPr>
          <w:rFonts w:ascii="Times New Roman" w:hAnsi="Times New Roman"/>
          <w:sz w:val="24"/>
          <w:szCs w:val="24"/>
        </w:rPr>
        <w:t xml:space="preserve">. </w:t>
      </w:r>
    </w:p>
    <w:p w:rsidR="001F24E5" w:rsidRPr="00337605" w:rsidRDefault="001F24E5" w:rsidP="00337605">
      <w:pPr>
        <w:spacing w:after="0" w:line="360" w:lineRule="auto"/>
        <w:jc w:val="both"/>
        <w:rPr>
          <w:rFonts w:ascii="Times New Roman" w:hAnsi="Times New Roman"/>
          <w:sz w:val="24"/>
          <w:szCs w:val="24"/>
        </w:rPr>
      </w:pPr>
    </w:p>
    <w:p w:rsidR="00337605" w:rsidRPr="00337605" w:rsidRDefault="00360D87" w:rsidP="00337605">
      <w:pPr>
        <w:spacing w:line="360" w:lineRule="auto"/>
        <w:jc w:val="both"/>
        <w:rPr>
          <w:rFonts w:ascii="Times New Roman" w:hAnsi="Times New Roman"/>
          <w:b/>
          <w:bCs/>
          <w:sz w:val="24"/>
          <w:szCs w:val="24"/>
        </w:rPr>
      </w:pPr>
      <w:r>
        <w:rPr>
          <w:rFonts w:ascii="Times New Roman" w:hAnsi="Times New Roman"/>
          <w:b/>
          <w:bCs/>
          <w:sz w:val="24"/>
          <w:szCs w:val="24"/>
        </w:rPr>
        <w:t xml:space="preserve">2.1 </w:t>
      </w:r>
      <w:r w:rsidR="00337605" w:rsidRPr="00337605">
        <w:rPr>
          <w:rFonts w:ascii="Times New Roman" w:hAnsi="Times New Roman"/>
          <w:b/>
          <w:bCs/>
          <w:sz w:val="24"/>
          <w:szCs w:val="24"/>
        </w:rPr>
        <w:t>Gross State Domestic Product of Sikkim</w:t>
      </w:r>
    </w:p>
    <w:p w:rsidR="00337605" w:rsidRDefault="00337605" w:rsidP="00337605">
      <w:pPr>
        <w:spacing w:line="360" w:lineRule="auto"/>
        <w:jc w:val="both"/>
        <w:rPr>
          <w:rFonts w:ascii="Times New Roman" w:eastAsia="Times New Roman" w:hAnsi="Times New Roman"/>
          <w:sz w:val="24"/>
          <w:szCs w:val="24"/>
        </w:rPr>
      </w:pPr>
      <w:r w:rsidRPr="00337605">
        <w:rPr>
          <w:rFonts w:ascii="Times New Roman" w:eastAsia="Times New Roman" w:hAnsi="Times New Roman"/>
          <w:sz w:val="24"/>
          <w:szCs w:val="24"/>
        </w:rPr>
        <w:t>The GSDP at constant prices in Sikkim continued to grow steadily from 2.29 percent in 2012-13 to 9.93 percent in 2016-17. After a sharp decline in 2016-17 (7.15</w:t>
      </w:r>
      <w:r w:rsidR="00135EB9">
        <w:rPr>
          <w:rFonts w:ascii="Times New Roman" w:eastAsia="Times New Roman" w:hAnsi="Times New Roman"/>
          <w:sz w:val="24"/>
          <w:szCs w:val="24"/>
        </w:rPr>
        <w:t>%</w:t>
      </w:r>
      <w:r w:rsidRPr="00337605">
        <w:rPr>
          <w:rFonts w:ascii="Times New Roman" w:eastAsia="Times New Roman" w:hAnsi="Times New Roman"/>
          <w:sz w:val="24"/>
          <w:szCs w:val="24"/>
        </w:rPr>
        <w:t>), the GSDP growth rate reached a peak of 14.78 percent in 2017-18 (</w:t>
      </w:r>
      <w:r w:rsidR="00DD0D3C">
        <w:rPr>
          <w:rFonts w:ascii="Times New Roman" w:eastAsia="Times New Roman" w:hAnsi="Times New Roman"/>
          <w:sz w:val="24"/>
          <w:szCs w:val="24"/>
        </w:rPr>
        <w:t>F</w:t>
      </w:r>
      <w:r w:rsidRPr="00337605">
        <w:rPr>
          <w:rFonts w:ascii="Times New Roman" w:eastAsia="Times New Roman" w:hAnsi="Times New Roman"/>
          <w:sz w:val="24"/>
          <w:szCs w:val="24"/>
        </w:rPr>
        <w:t>igure 2.1).  Once again, the GSDP suffered a setback in 2018-19, as it</w:t>
      </w:r>
      <w:r w:rsidR="00360D87">
        <w:rPr>
          <w:rFonts w:ascii="Times New Roman" w:eastAsia="Times New Roman" w:hAnsi="Times New Roman"/>
          <w:sz w:val="24"/>
          <w:szCs w:val="24"/>
        </w:rPr>
        <w:t>s growth</w:t>
      </w:r>
      <w:r w:rsidRPr="00337605">
        <w:rPr>
          <w:rFonts w:ascii="Times New Roman" w:eastAsia="Times New Roman" w:hAnsi="Times New Roman"/>
          <w:sz w:val="24"/>
          <w:szCs w:val="24"/>
        </w:rPr>
        <w:t xml:space="preserve"> declined to 5.38 percent</w:t>
      </w:r>
      <w:r w:rsidR="001C4888">
        <w:rPr>
          <w:rFonts w:ascii="Times New Roman" w:eastAsia="Times New Roman" w:hAnsi="Times New Roman"/>
          <w:sz w:val="24"/>
          <w:szCs w:val="24"/>
        </w:rPr>
        <w:t xml:space="preserve">. While in 2019-20, the GSDP growth rate improved marginally to 5.77, large decline came in 2020-21 to </w:t>
      </w:r>
      <w:r w:rsidRPr="00337605">
        <w:rPr>
          <w:rFonts w:ascii="Times New Roman" w:eastAsia="Times New Roman" w:hAnsi="Times New Roman"/>
          <w:sz w:val="24"/>
          <w:szCs w:val="24"/>
        </w:rPr>
        <w:t>3.73 percent</w:t>
      </w:r>
      <w:r w:rsidR="001C4888">
        <w:rPr>
          <w:rFonts w:ascii="Times New Roman" w:eastAsia="Times New Roman" w:hAnsi="Times New Roman"/>
          <w:sz w:val="24"/>
          <w:szCs w:val="24"/>
        </w:rPr>
        <w:t>. The impact of Covid-19 disruption was clearly visible</w:t>
      </w:r>
      <w:r w:rsidR="00CC1501" w:rsidRPr="00135EB9">
        <w:rPr>
          <w:rFonts w:ascii="Times New Roman" w:eastAsia="Times New Roman" w:hAnsi="Times New Roman"/>
          <w:sz w:val="24"/>
          <w:szCs w:val="24"/>
        </w:rPr>
        <w:t>.</w:t>
      </w:r>
      <w:r w:rsidR="001C4888">
        <w:rPr>
          <w:rFonts w:ascii="Times New Roman" w:eastAsia="Times New Roman" w:hAnsi="Times New Roman"/>
          <w:sz w:val="24"/>
          <w:szCs w:val="24"/>
        </w:rPr>
        <w:t xml:space="preserve"> </w:t>
      </w:r>
    </w:p>
    <w:p w:rsidR="001C4888" w:rsidRDefault="001C4888" w:rsidP="00337605">
      <w:pPr>
        <w:spacing w:line="360" w:lineRule="auto"/>
        <w:jc w:val="both"/>
        <w:rPr>
          <w:rFonts w:ascii="Times New Roman" w:eastAsia="Times New Roman" w:hAnsi="Times New Roman"/>
          <w:sz w:val="24"/>
          <w:szCs w:val="24"/>
        </w:rPr>
      </w:pPr>
    </w:p>
    <w:p w:rsidR="001C4888" w:rsidRDefault="001C4888" w:rsidP="00337605">
      <w:pPr>
        <w:spacing w:line="360" w:lineRule="auto"/>
        <w:jc w:val="both"/>
        <w:rPr>
          <w:rFonts w:ascii="Times New Roman" w:hAnsi="Times New Roman"/>
          <w:b/>
          <w:sz w:val="24"/>
          <w:szCs w:val="24"/>
        </w:rPr>
      </w:pPr>
    </w:p>
    <w:p w:rsidR="00337605" w:rsidRPr="00337605" w:rsidRDefault="00337605" w:rsidP="00353127">
      <w:pPr>
        <w:spacing w:after="120" w:line="240" w:lineRule="auto"/>
        <w:jc w:val="center"/>
        <w:rPr>
          <w:rFonts w:ascii="Times New Roman" w:hAnsi="Times New Roman"/>
          <w:b/>
        </w:rPr>
      </w:pPr>
      <w:r w:rsidRPr="00337605">
        <w:rPr>
          <w:rFonts w:ascii="Times New Roman" w:hAnsi="Times New Roman"/>
          <w:b/>
        </w:rPr>
        <w:lastRenderedPageBreak/>
        <w:t>Fig</w:t>
      </w:r>
      <w:r w:rsidR="000C7EF4">
        <w:rPr>
          <w:rFonts w:ascii="Times New Roman" w:hAnsi="Times New Roman"/>
          <w:b/>
        </w:rPr>
        <w:t>ure</w:t>
      </w:r>
      <w:r w:rsidRPr="00337605">
        <w:rPr>
          <w:rFonts w:ascii="Times New Roman" w:hAnsi="Times New Roman"/>
          <w:b/>
        </w:rPr>
        <w:t xml:space="preserve"> 2.1</w:t>
      </w:r>
    </w:p>
    <w:p w:rsidR="00337605" w:rsidRPr="00337605" w:rsidRDefault="00337605" w:rsidP="00337605">
      <w:pPr>
        <w:jc w:val="center"/>
        <w:rPr>
          <w:rFonts w:ascii="Times New Roman" w:hAnsi="Times New Roman"/>
          <w:b/>
          <w:bCs/>
        </w:rPr>
      </w:pPr>
      <w:r w:rsidRPr="00337605">
        <w:rPr>
          <w:rFonts w:ascii="Times New Roman" w:hAnsi="Times New Roman"/>
          <w:b/>
        </w:rPr>
        <w:t>Sikkim’s Economic Growth: GDP-GSDP Growth rates (at constant prices)</w:t>
      </w:r>
    </w:p>
    <w:p w:rsidR="00337605" w:rsidRPr="005E7F64" w:rsidRDefault="00337605" w:rsidP="00337605">
      <w:r>
        <w:rPr>
          <w:noProof/>
          <w:lang w:val="en-IN" w:eastAsia="en-IN"/>
        </w:rPr>
        <w:drawing>
          <wp:inline distT="0" distB="0" distL="0" distR="0" wp14:anchorId="313BF903" wp14:editId="64CCA54E">
            <wp:extent cx="5772150" cy="2860243"/>
            <wp:effectExtent l="0" t="0" r="0" b="16510"/>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546CC30-2C7D-4598-B8D3-A1FE9CC0F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7605" w:rsidRPr="00337605" w:rsidRDefault="00337605" w:rsidP="00337605">
      <w:pPr>
        <w:spacing w:line="360" w:lineRule="auto"/>
        <w:jc w:val="both"/>
        <w:rPr>
          <w:rFonts w:ascii="Times New Roman" w:hAnsi="Times New Roman"/>
          <w:sz w:val="24"/>
          <w:szCs w:val="24"/>
        </w:rPr>
      </w:pPr>
    </w:p>
    <w:p w:rsidR="00337605" w:rsidRPr="00445413" w:rsidRDefault="00337605" w:rsidP="00337605">
      <w:pPr>
        <w:spacing w:line="360" w:lineRule="auto"/>
        <w:jc w:val="both"/>
        <w:rPr>
          <w:rFonts w:ascii="Times New Roman" w:hAnsi="Times New Roman"/>
          <w:sz w:val="24"/>
          <w:szCs w:val="24"/>
        </w:rPr>
      </w:pPr>
      <w:r w:rsidRPr="00445413">
        <w:rPr>
          <w:rFonts w:ascii="Times New Roman" w:hAnsi="Times New Roman"/>
          <w:sz w:val="24"/>
          <w:szCs w:val="24"/>
        </w:rPr>
        <w:t>Per capita income of the state</w:t>
      </w:r>
      <w:r w:rsidR="00B93D8B">
        <w:rPr>
          <w:rFonts w:ascii="Times New Roman" w:hAnsi="Times New Roman"/>
          <w:sz w:val="24"/>
          <w:szCs w:val="24"/>
        </w:rPr>
        <w:t xml:space="preserve"> is an important </w:t>
      </w:r>
      <w:r w:rsidRPr="00445413">
        <w:rPr>
          <w:rFonts w:ascii="Times New Roman" w:hAnsi="Times New Roman"/>
          <w:sz w:val="24"/>
          <w:szCs w:val="24"/>
        </w:rPr>
        <w:t xml:space="preserve">indicator of economic progress. </w:t>
      </w:r>
      <w:r w:rsidR="00942AA8" w:rsidRPr="00445413">
        <w:rPr>
          <w:rFonts w:ascii="Times New Roman" w:hAnsi="Times New Roman"/>
          <w:sz w:val="24"/>
          <w:szCs w:val="24"/>
        </w:rPr>
        <w:t xml:space="preserve">Despite the problems of outliers influencing per capita income, it remains as an important measurement </w:t>
      </w:r>
      <w:r w:rsidR="00B93D8B">
        <w:rPr>
          <w:rFonts w:ascii="Times New Roman" w:hAnsi="Times New Roman"/>
          <w:sz w:val="24"/>
          <w:szCs w:val="24"/>
        </w:rPr>
        <w:t xml:space="preserve">while a large number of people like a population of state is concerned. </w:t>
      </w:r>
      <w:r w:rsidRPr="00445413">
        <w:rPr>
          <w:rFonts w:ascii="Times New Roman" w:hAnsi="Times New Roman"/>
          <w:sz w:val="24"/>
          <w:szCs w:val="24"/>
        </w:rPr>
        <w:t>Per capita income of Sikkim</w:t>
      </w:r>
      <w:r w:rsidR="00CC1501">
        <w:rPr>
          <w:rFonts w:ascii="Times New Roman" w:hAnsi="Times New Roman"/>
          <w:sz w:val="24"/>
          <w:szCs w:val="24"/>
        </w:rPr>
        <w:t xml:space="preserve"> (p</w:t>
      </w:r>
      <w:r w:rsidR="001C4888">
        <w:rPr>
          <w:rFonts w:ascii="Times New Roman" w:hAnsi="Times New Roman"/>
          <w:sz w:val="24"/>
          <w:szCs w:val="24"/>
        </w:rPr>
        <w:t>er capita NSDP</w:t>
      </w:r>
      <w:r w:rsidR="00B93D8B">
        <w:rPr>
          <w:rFonts w:ascii="Times New Roman" w:hAnsi="Times New Roman"/>
          <w:sz w:val="24"/>
          <w:szCs w:val="24"/>
        </w:rPr>
        <w:t xml:space="preserve">) </w:t>
      </w:r>
      <w:r w:rsidR="00B93D8B" w:rsidRPr="00445413">
        <w:rPr>
          <w:rFonts w:ascii="Times New Roman" w:hAnsi="Times New Roman"/>
          <w:sz w:val="24"/>
          <w:szCs w:val="24"/>
        </w:rPr>
        <w:t>has</w:t>
      </w:r>
      <w:r w:rsidRPr="00445413">
        <w:rPr>
          <w:rFonts w:ascii="Times New Roman" w:hAnsi="Times New Roman"/>
          <w:sz w:val="24"/>
          <w:szCs w:val="24"/>
        </w:rPr>
        <w:t xml:space="preserve"> improved from Rs.</w:t>
      </w:r>
      <w:r w:rsidRPr="00445413">
        <w:t xml:space="preserve"> </w:t>
      </w:r>
      <w:r w:rsidRPr="00445413">
        <w:rPr>
          <w:rFonts w:ascii="Times New Roman" w:hAnsi="Times New Roman"/>
          <w:sz w:val="24"/>
          <w:szCs w:val="24"/>
        </w:rPr>
        <w:t>24</w:t>
      </w:r>
      <w:r w:rsidR="00B93D8B">
        <w:rPr>
          <w:rFonts w:ascii="Times New Roman" w:hAnsi="Times New Roman"/>
          <w:sz w:val="24"/>
          <w:szCs w:val="24"/>
        </w:rPr>
        <w:t>5987</w:t>
      </w:r>
      <w:r w:rsidR="00360D87" w:rsidRPr="00445413">
        <w:rPr>
          <w:rFonts w:ascii="Times New Roman" w:hAnsi="Times New Roman"/>
          <w:sz w:val="24"/>
          <w:szCs w:val="24"/>
        </w:rPr>
        <w:t xml:space="preserve"> in</w:t>
      </w:r>
      <w:r w:rsidRPr="00445413">
        <w:rPr>
          <w:rFonts w:ascii="Times New Roman" w:hAnsi="Times New Roman"/>
          <w:sz w:val="24"/>
          <w:szCs w:val="24"/>
        </w:rPr>
        <w:t xml:space="preserve"> 201</w:t>
      </w:r>
      <w:r w:rsidR="00B93D8B">
        <w:rPr>
          <w:rFonts w:ascii="Times New Roman" w:hAnsi="Times New Roman"/>
          <w:sz w:val="24"/>
          <w:szCs w:val="24"/>
        </w:rPr>
        <w:t>5</w:t>
      </w:r>
      <w:r w:rsidRPr="00445413">
        <w:rPr>
          <w:rFonts w:ascii="Times New Roman" w:hAnsi="Times New Roman"/>
          <w:sz w:val="24"/>
          <w:szCs w:val="24"/>
        </w:rPr>
        <w:t>-1</w:t>
      </w:r>
      <w:r w:rsidR="00B93D8B">
        <w:rPr>
          <w:rFonts w:ascii="Times New Roman" w:hAnsi="Times New Roman"/>
          <w:sz w:val="24"/>
          <w:szCs w:val="24"/>
        </w:rPr>
        <w:t>6</w:t>
      </w:r>
      <w:r w:rsidRPr="00445413">
        <w:rPr>
          <w:rFonts w:ascii="Times New Roman" w:hAnsi="Times New Roman"/>
          <w:sz w:val="24"/>
          <w:szCs w:val="24"/>
        </w:rPr>
        <w:t xml:space="preserve"> to Rs</w:t>
      </w:r>
      <w:r w:rsidR="00445413">
        <w:rPr>
          <w:rFonts w:ascii="Times New Roman" w:hAnsi="Times New Roman"/>
          <w:sz w:val="24"/>
          <w:szCs w:val="24"/>
        </w:rPr>
        <w:t>.</w:t>
      </w:r>
      <w:r w:rsidRPr="00445413">
        <w:t xml:space="preserve"> </w:t>
      </w:r>
      <w:r w:rsidRPr="00445413">
        <w:rPr>
          <w:rFonts w:ascii="Times New Roman" w:hAnsi="Times New Roman"/>
          <w:sz w:val="24"/>
          <w:szCs w:val="24"/>
        </w:rPr>
        <w:t>4</w:t>
      </w:r>
      <w:r w:rsidR="00B93D8B">
        <w:rPr>
          <w:rFonts w:ascii="Times New Roman" w:hAnsi="Times New Roman"/>
          <w:sz w:val="24"/>
          <w:szCs w:val="24"/>
        </w:rPr>
        <w:t>03376</w:t>
      </w:r>
      <w:r w:rsidRPr="00445413">
        <w:rPr>
          <w:rFonts w:ascii="Times New Roman" w:hAnsi="Times New Roman"/>
          <w:sz w:val="24"/>
          <w:szCs w:val="24"/>
        </w:rPr>
        <w:t xml:space="preserve"> in 201</w:t>
      </w:r>
      <w:r w:rsidR="00B93D8B">
        <w:rPr>
          <w:rFonts w:ascii="Times New Roman" w:hAnsi="Times New Roman"/>
          <w:sz w:val="24"/>
          <w:szCs w:val="24"/>
        </w:rPr>
        <w:t>9</w:t>
      </w:r>
      <w:r w:rsidRPr="00445413">
        <w:rPr>
          <w:rFonts w:ascii="Times New Roman" w:hAnsi="Times New Roman"/>
          <w:sz w:val="24"/>
          <w:szCs w:val="24"/>
        </w:rPr>
        <w:t>-</w:t>
      </w:r>
      <w:r w:rsidR="00B93D8B">
        <w:rPr>
          <w:rFonts w:ascii="Times New Roman" w:hAnsi="Times New Roman"/>
          <w:sz w:val="24"/>
          <w:szCs w:val="24"/>
        </w:rPr>
        <w:t>20</w:t>
      </w:r>
      <w:r w:rsidRPr="00445413">
        <w:rPr>
          <w:rFonts w:ascii="Times New Roman" w:hAnsi="Times New Roman"/>
          <w:sz w:val="24"/>
          <w:szCs w:val="24"/>
        </w:rPr>
        <w:t xml:space="preserve"> at current prices</w:t>
      </w:r>
      <w:r w:rsidR="00CC1501">
        <w:rPr>
          <w:rFonts w:ascii="Times New Roman" w:hAnsi="Times New Roman"/>
          <w:sz w:val="24"/>
          <w:szCs w:val="24"/>
        </w:rPr>
        <w:t xml:space="preserve"> (Table 2.1)</w:t>
      </w:r>
      <w:r w:rsidR="00942AA8">
        <w:rPr>
          <w:rFonts w:ascii="Times New Roman" w:hAnsi="Times New Roman"/>
          <w:sz w:val="24"/>
          <w:szCs w:val="24"/>
        </w:rPr>
        <w:t>. The per capita income of the s</w:t>
      </w:r>
      <w:r w:rsidRPr="00445413">
        <w:rPr>
          <w:rFonts w:ascii="Times New Roman" w:hAnsi="Times New Roman"/>
          <w:sz w:val="24"/>
          <w:szCs w:val="24"/>
        </w:rPr>
        <w:t>tate shows an annual average growth rate of 13.</w:t>
      </w:r>
      <w:r w:rsidR="00B93D8B">
        <w:rPr>
          <w:rFonts w:ascii="Times New Roman" w:hAnsi="Times New Roman"/>
          <w:sz w:val="24"/>
          <w:szCs w:val="24"/>
        </w:rPr>
        <w:t>37</w:t>
      </w:r>
      <w:r w:rsidRPr="00445413">
        <w:rPr>
          <w:rFonts w:ascii="Times New Roman" w:hAnsi="Times New Roman"/>
          <w:sz w:val="24"/>
          <w:szCs w:val="24"/>
        </w:rPr>
        <w:t xml:space="preserve"> percent during</w:t>
      </w:r>
      <w:r w:rsidR="00B93D8B">
        <w:rPr>
          <w:rFonts w:ascii="Times New Roman" w:hAnsi="Times New Roman"/>
          <w:sz w:val="24"/>
          <w:szCs w:val="24"/>
        </w:rPr>
        <w:t xml:space="preserve"> this period. Sikkim</w:t>
      </w:r>
      <w:r w:rsidR="00B93D8B" w:rsidRPr="00445413">
        <w:rPr>
          <w:rFonts w:ascii="Times New Roman" w:hAnsi="Times New Roman"/>
          <w:sz w:val="24"/>
          <w:szCs w:val="24"/>
        </w:rPr>
        <w:t xml:space="preserve"> occupies second position</w:t>
      </w:r>
      <w:r w:rsidR="00B93D8B">
        <w:rPr>
          <w:rFonts w:ascii="Times New Roman" w:hAnsi="Times New Roman"/>
          <w:sz w:val="24"/>
          <w:szCs w:val="24"/>
        </w:rPr>
        <w:t>, remaining only behind Goa</w:t>
      </w:r>
      <w:r w:rsidR="00B93D8B" w:rsidRPr="00445413">
        <w:rPr>
          <w:rFonts w:ascii="Times New Roman" w:hAnsi="Times New Roman"/>
          <w:sz w:val="24"/>
          <w:szCs w:val="24"/>
        </w:rPr>
        <w:t xml:space="preserve"> among all states in India </w:t>
      </w:r>
      <w:r w:rsidR="00CC1501">
        <w:rPr>
          <w:rFonts w:ascii="Times New Roman" w:hAnsi="Times New Roman"/>
          <w:sz w:val="24"/>
          <w:szCs w:val="24"/>
        </w:rPr>
        <w:t>b</w:t>
      </w:r>
      <w:r w:rsidRPr="00445413">
        <w:rPr>
          <w:rFonts w:ascii="Times New Roman" w:hAnsi="Times New Roman"/>
          <w:sz w:val="24"/>
          <w:szCs w:val="24"/>
        </w:rPr>
        <w:t>ased on average per capita income during the period from 201</w:t>
      </w:r>
      <w:r w:rsidR="00B93D8B">
        <w:rPr>
          <w:rFonts w:ascii="Times New Roman" w:hAnsi="Times New Roman"/>
          <w:sz w:val="24"/>
          <w:szCs w:val="24"/>
        </w:rPr>
        <w:t>5</w:t>
      </w:r>
      <w:r w:rsidRPr="00445413">
        <w:rPr>
          <w:rFonts w:ascii="Times New Roman" w:hAnsi="Times New Roman"/>
          <w:sz w:val="24"/>
          <w:szCs w:val="24"/>
        </w:rPr>
        <w:t>-1</w:t>
      </w:r>
      <w:r w:rsidR="00B93D8B">
        <w:rPr>
          <w:rFonts w:ascii="Times New Roman" w:hAnsi="Times New Roman"/>
          <w:sz w:val="24"/>
          <w:szCs w:val="24"/>
        </w:rPr>
        <w:t>6</w:t>
      </w:r>
      <w:r w:rsidRPr="00445413">
        <w:rPr>
          <w:rFonts w:ascii="Times New Roman" w:hAnsi="Times New Roman"/>
          <w:sz w:val="24"/>
          <w:szCs w:val="24"/>
        </w:rPr>
        <w:t xml:space="preserve"> to 201</w:t>
      </w:r>
      <w:r w:rsidR="00B93D8B">
        <w:rPr>
          <w:rFonts w:ascii="Times New Roman" w:hAnsi="Times New Roman"/>
          <w:sz w:val="24"/>
          <w:szCs w:val="24"/>
        </w:rPr>
        <w:t>9</w:t>
      </w:r>
      <w:r w:rsidRPr="00445413">
        <w:rPr>
          <w:rFonts w:ascii="Times New Roman" w:hAnsi="Times New Roman"/>
          <w:sz w:val="24"/>
          <w:szCs w:val="24"/>
        </w:rPr>
        <w:t>-</w:t>
      </w:r>
      <w:r w:rsidR="00B93D8B">
        <w:rPr>
          <w:rFonts w:ascii="Times New Roman" w:hAnsi="Times New Roman"/>
          <w:sz w:val="24"/>
          <w:szCs w:val="24"/>
        </w:rPr>
        <w:t>20</w:t>
      </w:r>
      <w:r w:rsidRPr="00445413">
        <w:rPr>
          <w:rFonts w:ascii="Times New Roman" w:hAnsi="Times New Roman"/>
          <w:sz w:val="24"/>
          <w:szCs w:val="24"/>
        </w:rPr>
        <w:t>,</w:t>
      </w:r>
    </w:p>
    <w:p w:rsidR="00445413" w:rsidRDefault="00445413" w:rsidP="00445413">
      <w:pPr>
        <w:pStyle w:val="BodyTextIndent"/>
        <w:spacing w:line="360" w:lineRule="auto"/>
        <w:ind w:firstLineChars="0" w:firstLine="0"/>
        <w:rPr>
          <w:sz w:val="24"/>
        </w:rPr>
      </w:pPr>
      <w:r w:rsidRPr="00445413">
        <w:rPr>
          <w:sz w:val="24"/>
        </w:rPr>
        <w:t xml:space="preserve">The growth of the GSDP </w:t>
      </w:r>
      <w:r w:rsidR="00353127">
        <w:rPr>
          <w:sz w:val="24"/>
        </w:rPr>
        <w:t xml:space="preserve">and very high per capita income of Sikkim needs to be examined in terms of its impact on internal revenue generation efforts. The decomposition of GSDP shows that </w:t>
      </w:r>
      <w:r>
        <w:rPr>
          <w:sz w:val="24"/>
        </w:rPr>
        <w:t xml:space="preserve">manufacturing and construction sectors </w:t>
      </w:r>
      <w:r w:rsidR="00353127">
        <w:rPr>
          <w:sz w:val="24"/>
        </w:rPr>
        <w:t>are major components</w:t>
      </w:r>
      <w:r>
        <w:rPr>
          <w:sz w:val="24"/>
        </w:rPr>
        <w:t xml:space="preserve"> of the </w:t>
      </w:r>
      <w:r w:rsidR="00360D87">
        <w:rPr>
          <w:sz w:val="24"/>
        </w:rPr>
        <w:t>s</w:t>
      </w:r>
      <w:r>
        <w:rPr>
          <w:sz w:val="24"/>
        </w:rPr>
        <w:t>tate economy. The impressive growth of power sector driven by generation of hydroelectricity in newly commissioned power projects</w:t>
      </w:r>
      <w:r w:rsidR="00353127">
        <w:rPr>
          <w:sz w:val="24"/>
        </w:rPr>
        <w:t xml:space="preserve"> and </w:t>
      </w:r>
      <w:r>
        <w:rPr>
          <w:sz w:val="24"/>
        </w:rPr>
        <w:t xml:space="preserve">pharmaceutical industries </w:t>
      </w:r>
      <w:r w:rsidR="00353127">
        <w:rPr>
          <w:sz w:val="24"/>
        </w:rPr>
        <w:t xml:space="preserve">have contributed to growth process. However, their </w:t>
      </w:r>
      <w:r>
        <w:rPr>
          <w:sz w:val="24"/>
        </w:rPr>
        <w:t xml:space="preserve">impact on </w:t>
      </w:r>
      <w:r w:rsidR="00360D87">
        <w:rPr>
          <w:sz w:val="24"/>
        </w:rPr>
        <w:t>s</w:t>
      </w:r>
      <w:r>
        <w:rPr>
          <w:sz w:val="24"/>
        </w:rPr>
        <w:t xml:space="preserve">tate finances, particularly on revenue generation has not been very productive. The generation of hydroelectricity, though adds to the GSDP numbers, remain outside the </w:t>
      </w:r>
      <w:r w:rsidR="00360D87">
        <w:rPr>
          <w:sz w:val="24"/>
        </w:rPr>
        <w:t>s</w:t>
      </w:r>
      <w:r>
        <w:rPr>
          <w:sz w:val="24"/>
        </w:rPr>
        <w:t xml:space="preserve">tate tax system. Similarly, the pharmaceutical industries did not generate revenue earlier under VAT due to consignment transfer, and do not hold promise under GST regime </w:t>
      </w:r>
      <w:r w:rsidR="00942AA8">
        <w:rPr>
          <w:sz w:val="24"/>
        </w:rPr>
        <w:t>either</w:t>
      </w:r>
      <w:r>
        <w:rPr>
          <w:sz w:val="24"/>
        </w:rPr>
        <w:t xml:space="preserve">. </w:t>
      </w:r>
    </w:p>
    <w:p w:rsidR="00CC1501" w:rsidRDefault="00337605" w:rsidP="00CC1501">
      <w:pPr>
        <w:spacing w:after="0" w:line="240" w:lineRule="auto"/>
        <w:jc w:val="center"/>
        <w:rPr>
          <w:rFonts w:ascii="Times New Roman" w:hAnsi="Times New Roman"/>
          <w:b/>
          <w:bCs/>
        </w:rPr>
      </w:pPr>
      <w:r w:rsidRPr="00337605">
        <w:rPr>
          <w:rFonts w:ascii="Times New Roman" w:hAnsi="Times New Roman"/>
          <w:b/>
          <w:bCs/>
        </w:rPr>
        <w:lastRenderedPageBreak/>
        <w:t>Table 2.1</w:t>
      </w:r>
      <w:r w:rsidR="00CC1501">
        <w:rPr>
          <w:rFonts w:ascii="Times New Roman" w:hAnsi="Times New Roman"/>
          <w:b/>
          <w:bCs/>
        </w:rPr>
        <w:t xml:space="preserve">: </w:t>
      </w:r>
      <w:r w:rsidRPr="00337605">
        <w:rPr>
          <w:rFonts w:ascii="Times New Roman" w:hAnsi="Times New Roman"/>
          <w:b/>
          <w:bCs/>
        </w:rPr>
        <w:t>Per Capita Income (</w:t>
      </w:r>
      <w:r w:rsidR="00CC1501">
        <w:rPr>
          <w:rFonts w:ascii="Times New Roman" w:hAnsi="Times New Roman"/>
          <w:b/>
          <w:bCs/>
        </w:rPr>
        <w:t>p</w:t>
      </w:r>
      <w:r w:rsidR="00B93D8B">
        <w:rPr>
          <w:rFonts w:ascii="Times New Roman" w:hAnsi="Times New Roman"/>
          <w:b/>
          <w:bCs/>
        </w:rPr>
        <w:t>er capita NSDP)</w:t>
      </w:r>
      <w:r w:rsidRPr="00337605">
        <w:rPr>
          <w:rFonts w:ascii="Times New Roman" w:hAnsi="Times New Roman"/>
          <w:b/>
          <w:bCs/>
        </w:rPr>
        <w:t xml:space="preserve"> of all States </w:t>
      </w:r>
    </w:p>
    <w:p w:rsidR="00CC1501" w:rsidRDefault="00337605" w:rsidP="00CC1501">
      <w:pPr>
        <w:spacing w:after="0" w:line="240" w:lineRule="auto"/>
        <w:jc w:val="center"/>
        <w:rPr>
          <w:rFonts w:ascii="Times New Roman" w:hAnsi="Times New Roman"/>
          <w:b/>
          <w:bCs/>
        </w:rPr>
      </w:pPr>
      <w:r w:rsidRPr="00337605">
        <w:rPr>
          <w:rFonts w:ascii="Times New Roman" w:hAnsi="Times New Roman"/>
          <w:b/>
          <w:bCs/>
        </w:rPr>
        <w:t>(at current prices)</w:t>
      </w:r>
      <w:r w:rsidR="00B93D8B">
        <w:rPr>
          <w:rFonts w:ascii="Times New Roman" w:hAnsi="Times New Roman"/>
          <w:b/>
          <w:bCs/>
        </w:rPr>
        <w:t xml:space="preserve"> </w:t>
      </w:r>
    </w:p>
    <w:p w:rsidR="00337605" w:rsidRPr="00CC1501" w:rsidRDefault="00B93D8B" w:rsidP="00CC1501">
      <w:pPr>
        <w:spacing w:after="0" w:line="240" w:lineRule="auto"/>
        <w:jc w:val="right"/>
        <w:rPr>
          <w:rFonts w:ascii="Times New Roman" w:hAnsi="Times New Roman"/>
          <w:b/>
          <w:bCs/>
          <w:i/>
        </w:rPr>
      </w:pPr>
      <w:r w:rsidRPr="00CC1501">
        <w:rPr>
          <w:rFonts w:ascii="Times New Roman" w:hAnsi="Times New Roman"/>
          <w:b/>
          <w:bCs/>
          <w:i/>
        </w:rPr>
        <w:t>(</w:t>
      </w:r>
      <w:r w:rsidR="00CC1501">
        <w:rPr>
          <w:rFonts w:ascii="Times New Roman" w:hAnsi="Times New Roman"/>
          <w:b/>
          <w:bCs/>
          <w:i/>
        </w:rPr>
        <w:t xml:space="preserve">in </w:t>
      </w:r>
      <w:r w:rsidRPr="00CC1501">
        <w:rPr>
          <w:rFonts w:ascii="Times New Roman" w:hAnsi="Times New Roman"/>
          <w:b/>
          <w:bCs/>
          <w:i/>
        </w:rPr>
        <w:t>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33"/>
        <w:gridCol w:w="920"/>
        <w:gridCol w:w="1079"/>
        <w:gridCol w:w="1153"/>
        <w:gridCol w:w="1155"/>
        <w:gridCol w:w="1155"/>
        <w:gridCol w:w="1043"/>
      </w:tblGrid>
      <w:tr w:rsidR="001C4888" w:rsidRPr="001C4888" w:rsidTr="00B93D8B">
        <w:trPr>
          <w:trHeight w:val="290"/>
        </w:trPr>
        <w:tc>
          <w:tcPr>
            <w:tcW w:w="421" w:type="pct"/>
            <w:shd w:val="clear" w:color="auto" w:fill="auto"/>
            <w:noWrap/>
            <w:vAlign w:val="center"/>
            <w:hideMark/>
          </w:tcPr>
          <w:p w:rsidR="001C4888" w:rsidRPr="001C4888" w:rsidRDefault="001C4888" w:rsidP="001C4888">
            <w:pPr>
              <w:spacing w:after="0" w:line="240" w:lineRule="auto"/>
              <w:jc w:val="center"/>
              <w:rPr>
                <w:rFonts w:ascii="Times New Roman" w:eastAsia="Times New Roman" w:hAnsi="Times New Roman"/>
                <w:b/>
                <w:color w:val="000000"/>
                <w:sz w:val="20"/>
                <w:szCs w:val="20"/>
                <w:lang w:val="en-IN" w:eastAsia="en-IN"/>
              </w:rPr>
            </w:pPr>
            <w:r w:rsidRPr="001C4888">
              <w:rPr>
                <w:rFonts w:ascii="Times New Roman" w:eastAsia="Times New Roman" w:hAnsi="Times New Roman"/>
                <w:b/>
                <w:color w:val="000000"/>
                <w:sz w:val="20"/>
                <w:szCs w:val="20"/>
                <w:lang w:val="en-IN" w:eastAsia="en-IN"/>
              </w:rPr>
              <w:t>Sl. No.</w:t>
            </w:r>
          </w:p>
        </w:tc>
        <w:tc>
          <w:tcPr>
            <w:tcW w:w="938" w:type="pct"/>
            <w:shd w:val="clear" w:color="auto" w:fill="auto"/>
            <w:noWrap/>
            <w:vAlign w:val="center"/>
            <w:hideMark/>
          </w:tcPr>
          <w:p w:rsidR="001C4888" w:rsidRPr="001C4888" w:rsidRDefault="001C4888" w:rsidP="001C4888">
            <w:pPr>
              <w:spacing w:after="0" w:line="240" w:lineRule="auto"/>
              <w:jc w:val="center"/>
              <w:rPr>
                <w:rFonts w:ascii="Times New Roman" w:eastAsia="Times New Roman" w:hAnsi="Times New Roman"/>
                <w:b/>
                <w:bCs/>
                <w:color w:val="000000"/>
                <w:sz w:val="20"/>
                <w:szCs w:val="20"/>
                <w:lang w:val="en-IN" w:eastAsia="en-IN"/>
              </w:rPr>
            </w:pPr>
            <w:r w:rsidRPr="001C4888">
              <w:rPr>
                <w:rFonts w:ascii="Times New Roman" w:eastAsia="Times New Roman" w:hAnsi="Times New Roman"/>
                <w:b/>
                <w:bCs/>
                <w:color w:val="000000"/>
                <w:sz w:val="20"/>
                <w:szCs w:val="20"/>
                <w:lang w:val="en-IN" w:eastAsia="en-IN"/>
              </w:rPr>
              <w:t>States</w:t>
            </w:r>
          </w:p>
        </w:tc>
        <w:tc>
          <w:tcPr>
            <w:tcW w:w="516" w:type="pct"/>
            <w:shd w:val="clear" w:color="auto" w:fill="auto"/>
            <w:noWrap/>
            <w:vAlign w:val="center"/>
            <w:hideMark/>
          </w:tcPr>
          <w:p w:rsidR="001C4888" w:rsidRPr="001C4888" w:rsidRDefault="001C4888" w:rsidP="00B93D8B">
            <w:pPr>
              <w:spacing w:after="0" w:line="240" w:lineRule="auto"/>
              <w:jc w:val="center"/>
              <w:rPr>
                <w:rFonts w:ascii="Times New Roman" w:hAnsi="Times New Roman"/>
                <w:b/>
                <w:sz w:val="20"/>
                <w:szCs w:val="20"/>
              </w:rPr>
            </w:pPr>
            <w:r w:rsidRPr="001C4888">
              <w:rPr>
                <w:rFonts w:ascii="Times New Roman" w:hAnsi="Times New Roman"/>
                <w:b/>
                <w:sz w:val="20"/>
                <w:szCs w:val="20"/>
              </w:rPr>
              <w:t>2015-16</w:t>
            </w:r>
          </w:p>
        </w:tc>
        <w:tc>
          <w:tcPr>
            <w:tcW w:w="604" w:type="pct"/>
            <w:shd w:val="clear" w:color="auto" w:fill="auto"/>
            <w:noWrap/>
            <w:vAlign w:val="center"/>
            <w:hideMark/>
          </w:tcPr>
          <w:p w:rsidR="001C4888" w:rsidRPr="001C4888" w:rsidRDefault="001C4888" w:rsidP="00B93D8B">
            <w:pPr>
              <w:spacing w:after="0" w:line="240" w:lineRule="auto"/>
              <w:jc w:val="center"/>
              <w:rPr>
                <w:rFonts w:ascii="Times New Roman" w:hAnsi="Times New Roman"/>
                <w:b/>
                <w:sz w:val="20"/>
                <w:szCs w:val="20"/>
              </w:rPr>
            </w:pPr>
            <w:r w:rsidRPr="001C4888">
              <w:rPr>
                <w:rFonts w:ascii="Times New Roman" w:hAnsi="Times New Roman"/>
                <w:b/>
                <w:sz w:val="20"/>
                <w:szCs w:val="20"/>
              </w:rPr>
              <w:t>2016-17</w:t>
            </w:r>
          </w:p>
        </w:tc>
        <w:tc>
          <w:tcPr>
            <w:tcW w:w="645" w:type="pct"/>
            <w:shd w:val="clear" w:color="auto" w:fill="auto"/>
            <w:noWrap/>
            <w:vAlign w:val="center"/>
            <w:hideMark/>
          </w:tcPr>
          <w:p w:rsidR="001C4888" w:rsidRPr="001C4888" w:rsidRDefault="001C4888" w:rsidP="00B93D8B">
            <w:pPr>
              <w:spacing w:after="0" w:line="240" w:lineRule="auto"/>
              <w:jc w:val="center"/>
              <w:rPr>
                <w:rFonts w:ascii="Times New Roman" w:hAnsi="Times New Roman"/>
                <w:b/>
                <w:sz w:val="20"/>
                <w:szCs w:val="20"/>
              </w:rPr>
            </w:pPr>
            <w:r w:rsidRPr="001C4888">
              <w:rPr>
                <w:rFonts w:ascii="Times New Roman" w:hAnsi="Times New Roman"/>
                <w:b/>
                <w:sz w:val="20"/>
                <w:szCs w:val="20"/>
              </w:rPr>
              <w:t>2017-18</w:t>
            </w:r>
          </w:p>
        </w:tc>
        <w:tc>
          <w:tcPr>
            <w:tcW w:w="646" w:type="pct"/>
            <w:shd w:val="clear" w:color="auto" w:fill="auto"/>
            <w:noWrap/>
            <w:vAlign w:val="center"/>
            <w:hideMark/>
          </w:tcPr>
          <w:p w:rsidR="001C4888" w:rsidRPr="001C4888" w:rsidRDefault="001C4888" w:rsidP="00B93D8B">
            <w:pPr>
              <w:spacing w:after="0" w:line="240" w:lineRule="auto"/>
              <w:jc w:val="center"/>
              <w:rPr>
                <w:rFonts w:ascii="Times New Roman" w:hAnsi="Times New Roman"/>
                <w:b/>
                <w:sz w:val="20"/>
                <w:szCs w:val="20"/>
              </w:rPr>
            </w:pPr>
            <w:r w:rsidRPr="001C4888">
              <w:rPr>
                <w:rFonts w:ascii="Times New Roman" w:hAnsi="Times New Roman"/>
                <w:b/>
                <w:sz w:val="20"/>
                <w:szCs w:val="20"/>
              </w:rPr>
              <w:t>2018-19</w:t>
            </w:r>
          </w:p>
        </w:tc>
        <w:tc>
          <w:tcPr>
            <w:tcW w:w="646" w:type="pct"/>
            <w:shd w:val="clear" w:color="auto" w:fill="auto"/>
            <w:noWrap/>
            <w:vAlign w:val="center"/>
            <w:hideMark/>
          </w:tcPr>
          <w:p w:rsidR="001C4888" w:rsidRPr="001C4888" w:rsidRDefault="001C4888" w:rsidP="00B93D8B">
            <w:pPr>
              <w:spacing w:after="0" w:line="240" w:lineRule="auto"/>
              <w:jc w:val="center"/>
              <w:rPr>
                <w:rFonts w:ascii="Times New Roman" w:hAnsi="Times New Roman"/>
                <w:b/>
                <w:sz w:val="20"/>
                <w:szCs w:val="20"/>
              </w:rPr>
            </w:pPr>
            <w:r w:rsidRPr="001C4888">
              <w:rPr>
                <w:rFonts w:ascii="Times New Roman" w:hAnsi="Times New Roman"/>
                <w:b/>
                <w:sz w:val="20"/>
                <w:szCs w:val="20"/>
              </w:rPr>
              <w:t>2019-20</w:t>
            </w:r>
          </w:p>
        </w:tc>
        <w:tc>
          <w:tcPr>
            <w:tcW w:w="584" w:type="pct"/>
            <w:shd w:val="clear" w:color="auto" w:fill="auto"/>
            <w:noWrap/>
            <w:vAlign w:val="center"/>
            <w:hideMark/>
          </w:tcPr>
          <w:p w:rsidR="001C4888" w:rsidRPr="001C4888" w:rsidRDefault="001C4888" w:rsidP="00B93D8B">
            <w:pPr>
              <w:spacing w:after="0" w:line="240" w:lineRule="auto"/>
              <w:jc w:val="center"/>
              <w:rPr>
                <w:rFonts w:ascii="Times New Roman" w:eastAsia="Times New Roman" w:hAnsi="Times New Roman"/>
                <w:b/>
                <w:bCs/>
                <w:color w:val="000000"/>
                <w:sz w:val="20"/>
                <w:szCs w:val="20"/>
                <w:lang w:val="en-IN" w:eastAsia="en-IN"/>
              </w:rPr>
            </w:pPr>
            <w:r w:rsidRPr="001C4888">
              <w:rPr>
                <w:rFonts w:ascii="Times New Roman" w:eastAsia="Times New Roman" w:hAnsi="Times New Roman"/>
                <w:b/>
                <w:bCs/>
                <w:color w:val="000000"/>
                <w:sz w:val="20"/>
                <w:szCs w:val="20"/>
                <w:lang w:val="en-IN" w:eastAsia="en-IN"/>
              </w:rPr>
              <w:t>Average</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Andhra Pradesh</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108002</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120676</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138299</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154031</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169320</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138066</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2</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Bihar</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30404</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34045</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36850</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40715</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45071</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37417</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3</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Chhattisgarh</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72991</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83285</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89690</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98254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105089</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89862</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4</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Goa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334576</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378953</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411740</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423716</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435959</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396989</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5</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Gujarat</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139254</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156295</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176961</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197457</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213936</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176781</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6</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Haryana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164963</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184982</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208437</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223015</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240507</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204381</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7</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Jharkhand</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52754</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60018</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67484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75421</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77739</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66683</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8</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Karnataka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148108</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169898</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185840</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204804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222002</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186130</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9</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Kerala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148133</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166246</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183252</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205437</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213041</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183222</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10</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Madhya Pradesh</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62080</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74324</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81966</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92486</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103103</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82792</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11</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Maharashtra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146815</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163726</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172663</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186074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196100</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173076</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12</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Odisha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65993</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79181</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89392</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100838</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110081</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89097</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13</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Punjab</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118858</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128780</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139835</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149974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155590</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138607</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14</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Rajasthan</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83426</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91924</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98698</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106624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115356</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99206</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15</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Tamil Nadu</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142028</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156595</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175276</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194373</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213396</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176334</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16</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Telangana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140840</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159395</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179358</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209848</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230955</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184079</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17</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Uttar Pradesh</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47118</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52671</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57944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62380</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66136</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57250</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18</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West Bengal</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75992</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82291</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91401</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103944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113163</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93358</w:t>
            </w:r>
          </w:p>
        </w:tc>
      </w:tr>
      <w:tr w:rsidR="00337605" w:rsidRPr="001C4888" w:rsidTr="00B93D8B">
        <w:trPr>
          <w:trHeight w:val="290"/>
        </w:trPr>
        <w:tc>
          <w:tcPr>
            <w:tcW w:w="5000" w:type="pct"/>
            <w:gridSpan w:val="8"/>
            <w:shd w:val="clear" w:color="auto" w:fill="auto"/>
            <w:noWrap/>
            <w:vAlign w:val="center"/>
          </w:tcPr>
          <w:p w:rsidR="00337605" w:rsidRPr="001C4888" w:rsidRDefault="00337605" w:rsidP="00B93D8B">
            <w:pPr>
              <w:spacing w:after="0" w:line="240" w:lineRule="auto"/>
              <w:jc w:val="center"/>
              <w:rPr>
                <w:rFonts w:ascii="Times New Roman" w:eastAsia="Times New Roman" w:hAnsi="Times New Roman"/>
                <w:b/>
                <w:bCs/>
                <w:color w:val="000000"/>
                <w:sz w:val="20"/>
                <w:szCs w:val="20"/>
                <w:lang w:val="en-IN" w:eastAsia="en-IN"/>
              </w:rPr>
            </w:pP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Arunachal Pradesh</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116985</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124129</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138836</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155076</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168679</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140741</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2</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Assam</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60817</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66330</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75151</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81034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96240</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75914</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3</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Himachal Pradesh</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135512</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150290</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165497</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174804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185728</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162366</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4</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Manipur</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55447</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59345</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71507</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73795</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82437</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68506</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5</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Meghalaya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68836</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73753</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77504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82653</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87170</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77983</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6</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Mizoram</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114055</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127107</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155222</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164708</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188012</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149821</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7</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Nagaland</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82466</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91347</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102003</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109198</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120871</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101177</w:t>
            </w:r>
          </w:p>
        </w:tc>
      </w:tr>
      <w:tr w:rsidR="001C4888" w:rsidRPr="00B93D8B" w:rsidTr="00B93D8B">
        <w:trPr>
          <w:trHeight w:val="290"/>
        </w:trPr>
        <w:tc>
          <w:tcPr>
            <w:tcW w:w="421" w:type="pct"/>
            <w:shd w:val="clear" w:color="auto" w:fill="auto"/>
            <w:noWrap/>
            <w:vAlign w:val="bottom"/>
            <w:hideMark/>
          </w:tcPr>
          <w:p w:rsidR="001C4888" w:rsidRPr="00B93D8B" w:rsidRDefault="001C4888" w:rsidP="001C4888">
            <w:pPr>
              <w:spacing w:after="0" w:line="240" w:lineRule="auto"/>
              <w:jc w:val="right"/>
              <w:rPr>
                <w:rFonts w:ascii="Times New Roman" w:eastAsia="Times New Roman" w:hAnsi="Times New Roman"/>
                <w:b/>
                <w:color w:val="000000"/>
                <w:sz w:val="20"/>
                <w:szCs w:val="20"/>
                <w:lang w:val="en-IN" w:eastAsia="en-IN"/>
              </w:rPr>
            </w:pPr>
            <w:r w:rsidRPr="00B93D8B">
              <w:rPr>
                <w:rFonts w:ascii="Times New Roman" w:eastAsia="Times New Roman" w:hAnsi="Times New Roman"/>
                <w:b/>
                <w:color w:val="000000"/>
                <w:sz w:val="20"/>
                <w:szCs w:val="20"/>
                <w:lang w:val="en-IN" w:eastAsia="en-IN"/>
              </w:rPr>
              <w:t>8</w:t>
            </w:r>
          </w:p>
        </w:tc>
        <w:tc>
          <w:tcPr>
            <w:tcW w:w="938" w:type="pct"/>
            <w:shd w:val="clear" w:color="auto" w:fill="auto"/>
            <w:noWrap/>
            <w:vAlign w:val="bottom"/>
            <w:hideMark/>
          </w:tcPr>
          <w:p w:rsidR="001C4888" w:rsidRPr="00B93D8B" w:rsidRDefault="001C4888" w:rsidP="001C4888">
            <w:pPr>
              <w:spacing w:after="0" w:line="240" w:lineRule="auto"/>
              <w:rPr>
                <w:rFonts w:ascii="Times New Roman" w:eastAsia="Times New Roman" w:hAnsi="Times New Roman"/>
                <w:b/>
                <w:color w:val="000000"/>
                <w:sz w:val="20"/>
                <w:szCs w:val="20"/>
                <w:lang w:val="en-IN" w:eastAsia="en-IN"/>
              </w:rPr>
            </w:pPr>
            <w:r w:rsidRPr="00B93D8B">
              <w:rPr>
                <w:rFonts w:ascii="Times New Roman" w:eastAsia="Times New Roman" w:hAnsi="Times New Roman"/>
                <w:b/>
                <w:color w:val="000000"/>
                <w:sz w:val="20"/>
                <w:szCs w:val="20"/>
                <w:lang w:val="en-IN" w:eastAsia="en-IN"/>
              </w:rPr>
              <w:t>Sikkim</w:t>
            </w:r>
          </w:p>
        </w:tc>
        <w:tc>
          <w:tcPr>
            <w:tcW w:w="516" w:type="pct"/>
            <w:shd w:val="clear" w:color="auto" w:fill="auto"/>
            <w:noWrap/>
            <w:vAlign w:val="center"/>
          </w:tcPr>
          <w:p w:rsidR="001C4888" w:rsidRPr="00B93D8B" w:rsidRDefault="001C4888" w:rsidP="00B93D8B">
            <w:pPr>
              <w:spacing w:after="0" w:line="240" w:lineRule="auto"/>
              <w:jc w:val="center"/>
              <w:rPr>
                <w:rFonts w:ascii="Times New Roman" w:hAnsi="Times New Roman"/>
                <w:b/>
                <w:sz w:val="20"/>
                <w:szCs w:val="20"/>
              </w:rPr>
            </w:pPr>
            <w:r w:rsidRPr="00B93D8B">
              <w:rPr>
                <w:rFonts w:ascii="Times New Roman" w:hAnsi="Times New Roman"/>
                <w:b/>
                <w:sz w:val="20"/>
                <w:szCs w:val="20"/>
              </w:rPr>
              <w:t>245987</w:t>
            </w:r>
          </w:p>
        </w:tc>
        <w:tc>
          <w:tcPr>
            <w:tcW w:w="604" w:type="pct"/>
            <w:shd w:val="clear" w:color="auto" w:fill="auto"/>
            <w:noWrap/>
            <w:vAlign w:val="center"/>
          </w:tcPr>
          <w:p w:rsidR="001C4888" w:rsidRPr="00B93D8B" w:rsidRDefault="001C4888" w:rsidP="00B93D8B">
            <w:pPr>
              <w:spacing w:after="0" w:line="240" w:lineRule="auto"/>
              <w:jc w:val="center"/>
              <w:rPr>
                <w:rFonts w:ascii="Times New Roman" w:hAnsi="Times New Roman"/>
                <w:b/>
                <w:sz w:val="20"/>
                <w:szCs w:val="20"/>
              </w:rPr>
            </w:pPr>
            <w:r w:rsidRPr="00B93D8B">
              <w:rPr>
                <w:rFonts w:ascii="Times New Roman" w:hAnsi="Times New Roman"/>
                <w:b/>
                <w:sz w:val="20"/>
                <w:szCs w:val="20"/>
              </w:rPr>
              <w:t>280729</w:t>
            </w:r>
          </w:p>
        </w:tc>
        <w:tc>
          <w:tcPr>
            <w:tcW w:w="645" w:type="pct"/>
            <w:shd w:val="clear" w:color="auto" w:fill="auto"/>
            <w:noWrap/>
            <w:vAlign w:val="center"/>
          </w:tcPr>
          <w:p w:rsidR="001C4888" w:rsidRPr="00B93D8B" w:rsidRDefault="001C4888" w:rsidP="00B93D8B">
            <w:pPr>
              <w:spacing w:after="0" w:line="240" w:lineRule="auto"/>
              <w:jc w:val="center"/>
              <w:rPr>
                <w:rFonts w:ascii="Times New Roman" w:hAnsi="Times New Roman"/>
                <w:b/>
                <w:sz w:val="20"/>
                <w:szCs w:val="20"/>
              </w:rPr>
            </w:pPr>
            <w:r w:rsidRPr="00B93D8B">
              <w:rPr>
                <w:rFonts w:ascii="Times New Roman" w:hAnsi="Times New Roman"/>
                <w:b/>
                <w:sz w:val="20"/>
                <w:szCs w:val="20"/>
              </w:rPr>
              <w:t>349163</w:t>
            </w:r>
          </w:p>
        </w:tc>
        <w:tc>
          <w:tcPr>
            <w:tcW w:w="646" w:type="pct"/>
            <w:shd w:val="clear" w:color="auto" w:fill="auto"/>
            <w:noWrap/>
            <w:vAlign w:val="center"/>
          </w:tcPr>
          <w:p w:rsidR="001C4888" w:rsidRPr="00B93D8B" w:rsidRDefault="001C4888" w:rsidP="00B93D8B">
            <w:pPr>
              <w:spacing w:after="0" w:line="240" w:lineRule="auto"/>
              <w:jc w:val="center"/>
              <w:rPr>
                <w:rFonts w:ascii="Times New Roman" w:hAnsi="Times New Roman"/>
                <w:b/>
                <w:sz w:val="20"/>
                <w:szCs w:val="20"/>
              </w:rPr>
            </w:pPr>
            <w:r w:rsidRPr="00B93D8B">
              <w:rPr>
                <w:rFonts w:ascii="Times New Roman" w:hAnsi="Times New Roman"/>
                <w:b/>
                <w:sz w:val="20"/>
                <w:szCs w:val="20"/>
              </w:rPr>
              <w:t>375773</w:t>
            </w:r>
          </w:p>
        </w:tc>
        <w:tc>
          <w:tcPr>
            <w:tcW w:w="646" w:type="pct"/>
            <w:shd w:val="clear" w:color="auto" w:fill="auto"/>
            <w:noWrap/>
            <w:vAlign w:val="center"/>
          </w:tcPr>
          <w:p w:rsidR="001C4888" w:rsidRPr="00B93D8B" w:rsidRDefault="001C4888" w:rsidP="00B93D8B">
            <w:pPr>
              <w:spacing w:after="0" w:line="240" w:lineRule="auto"/>
              <w:jc w:val="center"/>
              <w:rPr>
                <w:rFonts w:ascii="Times New Roman" w:hAnsi="Times New Roman"/>
                <w:b/>
                <w:sz w:val="20"/>
                <w:szCs w:val="20"/>
              </w:rPr>
            </w:pPr>
            <w:r w:rsidRPr="00B93D8B">
              <w:rPr>
                <w:rFonts w:ascii="Times New Roman" w:hAnsi="Times New Roman"/>
                <w:b/>
                <w:sz w:val="20"/>
                <w:szCs w:val="20"/>
              </w:rPr>
              <w:t>403376</w:t>
            </w:r>
          </w:p>
        </w:tc>
        <w:tc>
          <w:tcPr>
            <w:tcW w:w="584" w:type="pct"/>
            <w:shd w:val="clear" w:color="auto" w:fill="auto"/>
            <w:noWrap/>
            <w:vAlign w:val="center"/>
            <w:hideMark/>
          </w:tcPr>
          <w:p w:rsidR="001C4888" w:rsidRPr="00B93D8B" w:rsidRDefault="001C4888" w:rsidP="00B93D8B">
            <w:pPr>
              <w:spacing w:after="0"/>
              <w:jc w:val="center"/>
              <w:rPr>
                <w:rFonts w:ascii="Times New Roman" w:hAnsi="Times New Roman"/>
                <w:b/>
                <w:sz w:val="20"/>
                <w:szCs w:val="20"/>
              </w:rPr>
            </w:pPr>
            <w:r w:rsidRPr="00B93D8B">
              <w:rPr>
                <w:rFonts w:ascii="Times New Roman" w:hAnsi="Times New Roman"/>
                <w:b/>
                <w:sz w:val="20"/>
                <w:szCs w:val="20"/>
              </w:rPr>
              <w:t>331006</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9</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Tripura</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84267</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91596</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100444</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113016</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125675</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102999</w:t>
            </w:r>
          </w:p>
        </w:tc>
      </w:tr>
      <w:tr w:rsidR="001C4888" w:rsidRPr="001C4888" w:rsidTr="00B93D8B">
        <w:trPr>
          <w:trHeight w:val="290"/>
        </w:trPr>
        <w:tc>
          <w:tcPr>
            <w:tcW w:w="421" w:type="pct"/>
            <w:shd w:val="clear" w:color="auto" w:fill="auto"/>
            <w:noWrap/>
            <w:vAlign w:val="bottom"/>
            <w:hideMark/>
          </w:tcPr>
          <w:p w:rsidR="001C4888" w:rsidRPr="001C4888" w:rsidRDefault="001C4888" w:rsidP="001C4888">
            <w:pPr>
              <w:spacing w:after="0" w:line="240" w:lineRule="auto"/>
              <w:jc w:val="right"/>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10</w:t>
            </w:r>
          </w:p>
        </w:tc>
        <w:tc>
          <w:tcPr>
            <w:tcW w:w="938" w:type="pct"/>
            <w:shd w:val="clear" w:color="auto" w:fill="auto"/>
            <w:noWrap/>
            <w:vAlign w:val="bottom"/>
            <w:hideMark/>
          </w:tcPr>
          <w:p w:rsidR="001C4888" w:rsidRPr="001C4888" w:rsidRDefault="001C4888" w:rsidP="001C4888">
            <w:pPr>
              <w:spacing w:after="0" w:line="240" w:lineRule="auto"/>
              <w:rPr>
                <w:rFonts w:ascii="Times New Roman" w:eastAsia="Times New Roman" w:hAnsi="Times New Roman"/>
                <w:color w:val="000000"/>
                <w:sz w:val="20"/>
                <w:szCs w:val="20"/>
                <w:lang w:val="en-IN" w:eastAsia="en-IN"/>
              </w:rPr>
            </w:pPr>
            <w:r w:rsidRPr="001C4888">
              <w:rPr>
                <w:rFonts w:ascii="Times New Roman" w:eastAsia="Times New Roman" w:hAnsi="Times New Roman"/>
                <w:color w:val="000000"/>
                <w:sz w:val="20"/>
                <w:szCs w:val="20"/>
                <w:lang w:val="en-IN" w:eastAsia="en-IN"/>
              </w:rPr>
              <w:t>Uttarakhand</w:t>
            </w:r>
          </w:p>
        </w:tc>
        <w:tc>
          <w:tcPr>
            <w:tcW w:w="51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147936</w:t>
            </w:r>
          </w:p>
        </w:tc>
        <w:tc>
          <w:tcPr>
            <w:tcW w:w="604"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161752</w:t>
            </w:r>
          </w:p>
        </w:tc>
        <w:tc>
          <w:tcPr>
            <w:tcW w:w="645"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180858</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186169</w:t>
            </w:r>
          </w:p>
        </w:tc>
        <w:tc>
          <w:tcPr>
            <w:tcW w:w="646" w:type="pct"/>
            <w:shd w:val="clear" w:color="auto" w:fill="auto"/>
            <w:noWrap/>
            <w:vAlign w:val="center"/>
          </w:tcPr>
          <w:p w:rsidR="001C4888" w:rsidRPr="001C4888" w:rsidRDefault="001C4888" w:rsidP="00B93D8B">
            <w:pPr>
              <w:spacing w:after="0" w:line="240" w:lineRule="auto"/>
              <w:jc w:val="center"/>
              <w:rPr>
                <w:rFonts w:ascii="Times New Roman" w:hAnsi="Times New Roman"/>
                <w:sz w:val="20"/>
                <w:szCs w:val="20"/>
              </w:rPr>
            </w:pPr>
            <w:r w:rsidRPr="001C4888">
              <w:rPr>
                <w:rFonts w:ascii="Times New Roman" w:hAnsi="Times New Roman"/>
                <w:sz w:val="20"/>
                <w:szCs w:val="20"/>
              </w:rPr>
              <w:t>188179</w:t>
            </w:r>
          </w:p>
        </w:tc>
        <w:tc>
          <w:tcPr>
            <w:tcW w:w="584" w:type="pct"/>
            <w:shd w:val="clear" w:color="auto" w:fill="auto"/>
            <w:noWrap/>
            <w:vAlign w:val="center"/>
            <w:hideMark/>
          </w:tcPr>
          <w:p w:rsidR="001C4888" w:rsidRPr="001C4888" w:rsidRDefault="001C4888" w:rsidP="00B93D8B">
            <w:pPr>
              <w:spacing w:after="0"/>
              <w:jc w:val="center"/>
              <w:rPr>
                <w:rFonts w:ascii="Times New Roman" w:hAnsi="Times New Roman"/>
                <w:sz w:val="20"/>
                <w:szCs w:val="20"/>
              </w:rPr>
            </w:pPr>
            <w:r w:rsidRPr="001C4888">
              <w:rPr>
                <w:rFonts w:ascii="Times New Roman" w:hAnsi="Times New Roman"/>
                <w:sz w:val="20"/>
                <w:szCs w:val="20"/>
              </w:rPr>
              <w:t>172979</w:t>
            </w:r>
          </w:p>
        </w:tc>
      </w:tr>
    </w:tbl>
    <w:p w:rsidR="00337605" w:rsidRPr="0071573C" w:rsidRDefault="00337605" w:rsidP="00337605">
      <w:pPr>
        <w:rPr>
          <w:rFonts w:ascii="Times New Roman" w:eastAsia="Times New Roman" w:hAnsi="Times New Roman"/>
          <w:sz w:val="20"/>
          <w:szCs w:val="20"/>
        </w:rPr>
      </w:pPr>
      <w:r w:rsidRPr="0071573C">
        <w:rPr>
          <w:rFonts w:ascii="Times New Roman" w:eastAsia="Times New Roman" w:hAnsi="Times New Roman"/>
          <w:b/>
          <w:sz w:val="20"/>
          <w:szCs w:val="20"/>
        </w:rPr>
        <w:t>Source:</w:t>
      </w:r>
      <w:r w:rsidRPr="0071573C">
        <w:rPr>
          <w:rFonts w:ascii="Times New Roman" w:eastAsia="Times New Roman" w:hAnsi="Times New Roman"/>
          <w:sz w:val="20"/>
          <w:szCs w:val="20"/>
        </w:rPr>
        <w:t xml:space="preserve"> Central Statistical Office, GoI</w:t>
      </w:r>
      <w:r w:rsidR="00CC1501" w:rsidRPr="0071573C">
        <w:rPr>
          <w:rFonts w:ascii="Times New Roman" w:eastAsia="Times New Roman" w:hAnsi="Times New Roman"/>
          <w:sz w:val="20"/>
          <w:szCs w:val="20"/>
        </w:rPr>
        <w:t>.</w:t>
      </w:r>
    </w:p>
    <w:p w:rsidR="00930718" w:rsidRPr="00337605" w:rsidRDefault="00337605" w:rsidP="00337605">
      <w:pPr>
        <w:spacing w:line="360" w:lineRule="auto"/>
        <w:jc w:val="both"/>
        <w:rPr>
          <w:rFonts w:ascii="Times New Roman" w:eastAsia="Times New Roman" w:hAnsi="Times New Roman"/>
          <w:sz w:val="24"/>
          <w:szCs w:val="24"/>
        </w:rPr>
      </w:pPr>
      <w:r w:rsidRPr="00337605">
        <w:rPr>
          <w:rFonts w:ascii="Times New Roman" w:eastAsia="Times New Roman" w:hAnsi="Times New Roman"/>
          <w:sz w:val="24"/>
          <w:szCs w:val="24"/>
        </w:rPr>
        <w:t xml:space="preserve">The GSDP growth at constant prices, </w:t>
      </w:r>
      <w:r w:rsidR="00930718">
        <w:rPr>
          <w:rFonts w:ascii="Times New Roman" w:eastAsia="Times New Roman" w:hAnsi="Times New Roman"/>
          <w:sz w:val="24"/>
          <w:szCs w:val="24"/>
        </w:rPr>
        <w:t xml:space="preserve">which was showing increasing trend until 2017-18, has declined since then. The growth of GSDP increased from 9.93 percent in 2014-15, to 14.78 percent and then declined to 5.77 percent in 2019-20 </w:t>
      </w:r>
      <w:r w:rsidRPr="00337605">
        <w:rPr>
          <w:rFonts w:ascii="Times New Roman" w:eastAsia="Times New Roman" w:hAnsi="Times New Roman"/>
          <w:sz w:val="24"/>
          <w:szCs w:val="24"/>
        </w:rPr>
        <w:t xml:space="preserve">(Table 2.2). Average annual growth rate during this period works out to be </w:t>
      </w:r>
      <w:r w:rsidR="00930718">
        <w:rPr>
          <w:rFonts w:ascii="Times New Roman" w:eastAsia="Times New Roman" w:hAnsi="Times New Roman"/>
          <w:sz w:val="24"/>
          <w:szCs w:val="24"/>
        </w:rPr>
        <w:t>8.49</w:t>
      </w:r>
      <w:r w:rsidRPr="00337605">
        <w:rPr>
          <w:rFonts w:ascii="Times New Roman" w:eastAsia="Times New Roman" w:hAnsi="Times New Roman"/>
          <w:sz w:val="24"/>
          <w:szCs w:val="24"/>
        </w:rPr>
        <w:t xml:space="preserve"> percent. The growth rate becomes a crucial factor in the context of budget making </w:t>
      </w:r>
      <w:r w:rsidR="00942AA8">
        <w:rPr>
          <w:rFonts w:ascii="Times New Roman" w:eastAsia="Times New Roman" w:hAnsi="Times New Roman"/>
          <w:sz w:val="24"/>
          <w:szCs w:val="24"/>
        </w:rPr>
        <w:t xml:space="preserve">as GSDP is used as </w:t>
      </w:r>
      <w:r w:rsidRPr="00337605">
        <w:rPr>
          <w:rFonts w:ascii="Times New Roman" w:eastAsia="Times New Roman" w:hAnsi="Times New Roman"/>
          <w:sz w:val="24"/>
          <w:szCs w:val="24"/>
        </w:rPr>
        <w:t xml:space="preserve">denominator in all target fiscal ratios, and it is also the determining factor for borrowing limit of the </w:t>
      </w:r>
      <w:r w:rsidR="00942AA8">
        <w:rPr>
          <w:rFonts w:ascii="Times New Roman" w:eastAsia="Times New Roman" w:hAnsi="Times New Roman"/>
          <w:sz w:val="24"/>
          <w:szCs w:val="24"/>
        </w:rPr>
        <w:t>s</w:t>
      </w:r>
      <w:r w:rsidRPr="00337605">
        <w:rPr>
          <w:rFonts w:ascii="Times New Roman" w:eastAsia="Times New Roman" w:hAnsi="Times New Roman"/>
          <w:sz w:val="24"/>
          <w:szCs w:val="24"/>
        </w:rPr>
        <w:t xml:space="preserve">tate. The growth rates assumed by Central Finance Commissions becomes reference points while making budget estimates. FC-XIV projected the GSDP growth at current prices for Sikkim for the award period 2015-16 to 2019-20 at 24.32 percent. However, the average annual growth rate of GSDP during this period </w:t>
      </w:r>
      <w:r w:rsidRPr="00337605">
        <w:rPr>
          <w:rFonts w:ascii="Times New Roman" w:eastAsia="Times New Roman" w:hAnsi="Times New Roman"/>
          <w:sz w:val="24"/>
          <w:szCs w:val="24"/>
        </w:rPr>
        <w:lastRenderedPageBreak/>
        <w:t xml:space="preserve">was only 15.03 percent at current prices. </w:t>
      </w:r>
      <w:r w:rsidR="00930718">
        <w:rPr>
          <w:rFonts w:ascii="Times New Roman" w:eastAsia="Times New Roman" w:hAnsi="Times New Roman"/>
          <w:sz w:val="24"/>
          <w:szCs w:val="24"/>
        </w:rPr>
        <w:t xml:space="preserve">The growth rates of components of GSDP indicate that manufacturing sector declined in 2019-20 and services sector increased at a higher growth rate of 20.92 percent. </w:t>
      </w:r>
    </w:p>
    <w:p w:rsidR="0071573C" w:rsidRDefault="00337605" w:rsidP="0071573C">
      <w:pPr>
        <w:spacing w:after="0"/>
        <w:ind w:firstLine="360"/>
        <w:jc w:val="center"/>
        <w:rPr>
          <w:rFonts w:ascii="Times New Roman" w:eastAsia="Times New Roman" w:hAnsi="Times New Roman"/>
          <w:b/>
          <w:szCs w:val="24"/>
        </w:rPr>
      </w:pPr>
      <w:r w:rsidRPr="003072AF">
        <w:rPr>
          <w:rFonts w:ascii="Times New Roman" w:eastAsia="Times New Roman" w:hAnsi="Times New Roman"/>
          <w:b/>
          <w:szCs w:val="24"/>
        </w:rPr>
        <w:t>Table 2.2</w:t>
      </w:r>
      <w:r w:rsidR="0071573C">
        <w:rPr>
          <w:rFonts w:ascii="Times New Roman" w:eastAsia="Times New Roman" w:hAnsi="Times New Roman"/>
          <w:b/>
          <w:szCs w:val="24"/>
        </w:rPr>
        <w:t xml:space="preserve">: </w:t>
      </w:r>
      <w:r w:rsidR="000705A8">
        <w:rPr>
          <w:rFonts w:ascii="Times New Roman" w:eastAsia="Times New Roman" w:hAnsi="Times New Roman"/>
          <w:b/>
          <w:szCs w:val="24"/>
        </w:rPr>
        <w:t>Growth Rate</w:t>
      </w:r>
      <w:r w:rsidR="00583442">
        <w:rPr>
          <w:rFonts w:ascii="Times New Roman" w:eastAsia="Times New Roman" w:hAnsi="Times New Roman"/>
          <w:b/>
          <w:szCs w:val="24"/>
        </w:rPr>
        <w:t xml:space="preserve"> of </w:t>
      </w:r>
      <w:r w:rsidRPr="003072AF">
        <w:rPr>
          <w:rFonts w:ascii="Times New Roman" w:eastAsia="Times New Roman" w:hAnsi="Times New Roman"/>
          <w:b/>
          <w:szCs w:val="24"/>
        </w:rPr>
        <w:t xml:space="preserve">Key Aggregates of State Domestic Product </w:t>
      </w:r>
    </w:p>
    <w:p w:rsidR="00337605" w:rsidRPr="003072AF" w:rsidRDefault="00337605" w:rsidP="0071573C">
      <w:pPr>
        <w:spacing w:after="0"/>
        <w:ind w:firstLine="360"/>
        <w:jc w:val="center"/>
        <w:rPr>
          <w:rFonts w:ascii="Times New Roman" w:eastAsia="Times New Roman" w:hAnsi="Times New Roman"/>
          <w:b/>
          <w:szCs w:val="24"/>
        </w:rPr>
      </w:pPr>
      <w:r w:rsidRPr="003072AF">
        <w:rPr>
          <w:rFonts w:ascii="Times New Roman" w:eastAsia="Times New Roman" w:hAnsi="Times New Roman"/>
          <w:b/>
          <w:szCs w:val="24"/>
        </w:rPr>
        <w:t>(</w:t>
      </w:r>
      <w:r w:rsidR="00CC1501">
        <w:rPr>
          <w:rFonts w:ascii="Times New Roman" w:eastAsia="Times New Roman" w:hAnsi="Times New Roman"/>
          <w:b/>
          <w:szCs w:val="24"/>
        </w:rPr>
        <w:t>c</w:t>
      </w:r>
      <w:r w:rsidRPr="003072AF">
        <w:rPr>
          <w:rFonts w:ascii="Times New Roman" w:eastAsia="Times New Roman" w:hAnsi="Times New Roman"/>
          <w:b/>
          <w:szCs w:val="24"/>
        </w:rPr>
        <w:t xml:space="preserve">onstant </w:t>
      </w:r>
      <w:r w:rsidR="00CC1501">
        <w:rPr>
          <w:rFonts w:ascii="Times New Roman" w:eastAsia="Times New Roman" w:hAnsi="Times New Roman"/>
          <w:b/>
          <w:szCs w:val="24"/>
        </w:rPr>
        <w:t>p</w:t>
      </w:r>
      <w:r w:rsidRPr="003072AF">
        <w:rPr>
          <w:rFonts w:ascii="Times New Roman" w:eastAsia="Times New Roman" w:hAnsi="Times New Roman"/>
          <w:b/>
          <w:szCs w:val="24"/>
        </w:rPr>
        <w:t>rices)</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967"/>
        <w:gridCol w:w="965"/>
        <w:gridCol w:w="967"/>
        <w:gridCol w:w="967"/>
        <w:gridCol w:w="1068"/>
        <w:gridCol w:w="951"/>
      </w:tblGrid>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b/>
                <w:bCs/>
                <w:lang w:val="en-IN" w:eastAsia="en-IN"/>
              </w:rPr>
            </w:pPr>
            <w:r w:rsidRPr="000705A8">
              <w:rPr>
                <w:rFonts w:ascii="Times New Roman" w:eastAsia="Times New Roman" w:hAnsi="Times New Roman"/>
                <w:b/>
                <w:bCs/>
                <w:lang w:val="en-IN" w:eastAsia="en-IN"/>
              </w:rPr>
              <w:t>Item</w:t>
            </w:r>
          </w:p>
        </w:tc>
        <w:tc>
          <w:tcPr>
            <w:tcW w:w="535" w:type="pct"/>
            <w:shd w:val="clear" w:color="auto" w:fill="auto"/>
            <w:noWrap/>
            <w:vAlign w:val="bottom"/>
            <w:hideMark/>
          </w:tcPr>
          <w:p w:rsidR="000705A8" w:rsidRPr="0071573C" w:rsidRDefault="000705A8" w:rsidP="000705A8">
            <w:pPr>
              <w:spacing w:after="0" w:line="240" w:lineRule="auto"/>
              <w:rPr>
                <w:rFonts w:ascii="Times New Roman" w:eastAsia="Times New Roman" w:hAnsi="Times New Roman"/>
                <w:b/>
                <w:lang w:val="en-IN" w:eastAsia="en-IN"/>
              </w:rPr>
            </w:pPr>
            <w:r w:rsidRPr="0071573C">
              <w:rPr>
                <w:rFonts w:ascii="Times New Roman" w:eastAsia="Times New Roman" w:hAnsi="Times New Roman"/>
                <w:b/>
                <w:lang w:val="en-IN" w:eastAsia="en-IN"/>
              </w:rPr>
              <w:t>2015-16</w:t>
            </w:r>
          </w:p>
        </w:tc>
        <w:tc>
          <w:tcPr>
            <w:tcW w:w="534" w:type="pct"/>
            <w:shd w:val="clear" w:color="auto" w:fill="auto"/>
            <w:noWrap/>
            <w:vAlign w:val="bottom"/>
            <w:hideMark/>
          </w:tcPr>
          <w:p w:rsidR="000705A8" w:rsidRPr="0071573C" w:rsidRDefault="000705A8" w:rsidP="000705A8">
            <w:pPr>
              <w:spacing w:after="0" w:line="240" w:lineRule="auto"/>
              <w:rPr>
                <w:rFonts w:ascii="Times New Roman" w:eastAsia="Times New Roman" w:hAnsi="Times New Roman"/>
                <w:b/>
                <w:lang w:val="en-IN" w:eastAsia="en-IN"/>
              </w:rPr>
            </w:pPr>
            <w:r w:rsidRPr="0071573C">
              <w:rPr>
                <w:rFonts w:ascii="Times New Roman" w:eastAsia="Times New Roman" w:hAnsi="Times New Roman"/>
                <w:b/>
                <w:lang w:val="en-IN" w:eastAsia="en-IN"/>
              </w:rPr>
              <w:t>2016-17</w:t>
            </w:r>
          </w:p>
        </w:tc>
        <w:tc>
          <w:tcPr>
            <w:tcW w:w="535" w:type="pct"/>
            <w:shd w:val="clear" w:color="auto" w:fill="auto"/>
            <w:noWrap/>
            <w:vAlign w:val="bottom"/>
            <w:hideMark/>
          </w:tcPr>
          <w:p w:rsidR="000705A8" w:rsidRPr="0071573C" w:rsidRDefault="000705A8" w:rsidP="000705A8">
            <w:pPr>
              <w:spacing w:after="0" w:line="240" w:lineRule="auto"/>
              <w:rPr>
                <w:rFonts w:ascii="Times New Roman" w:eastAsia="Times New Roman" w:hAnsi="Times New Roman"/>
                <w:b/>
                <w:lang w:val="en-IN" w:eastAsia="en-IN"/>
              </w:rPr>
            </w:pPr>
            <w:r w:rsidRPr="0071573C">
              <w:rPr>
                <w:rFonts w:ascii="Times New Roman" w:eastAsia="Times New Roman" w:hAnsi="Times New Roman"/>
                <w:b/>
                <w:lang w:val="en-IN" w:eastAsia="en-IN"/>
              </w:rPr>
              <w:t>2017-18</w:t>
            </w:r>
          </w:p>
        </w:tc>
        <w:tc>
          <w:tcPr>
            <w:tcW w:w="535" w:type="pct"/>
            <w:shd w:val="clear" w:color="auto" w:fill="auto"/>
            <w:noWrap/>
            <w:vAlign w:val="bottom"/>
            <w:hideMark/>
          </w:tcPr>
          <w:p w:rsidR="000705A8" w:rsidRPr="0071573C" w:rsidRDefault="000705A8" w:rsidP="000705A8">
            <w:pPr>
              <w:spacing w:after="0" w:line="240" w:lineRule="auto"/>
              <w:rPr>
                <w:rFonts w:ascii="Times New Roman" w:eastAsia="Times New Roman" w:hAnsi="Times New Roman"/>
                <w:b/>
                <w:lang w:val="en-IN" w:eastAsia="en-IN"/>
              </w:rPr>
            </w:pPr>
            <w:r w:rsidRPr="0071573C">
              <w:rPr>
                <w:rFonts w:ascii="Times New Roman" w:eastAsia="Times New Roman" w:hAnsi="Times New Roman"/>
                <w:b/>
                <w:lang w:val="en-IN" w:eastAsia="en-IN"/>
              </w:rPr>
              <w:t>2018-19</w:t>
            </w:r>
          </w:p>
        </w:tc>
        <w:tc>
          <w:tcPr>
            <w:tcW w:w="591" w:type="pct"/>
            <w:shd w:val="clear" w:color="auto" w:fill="auto"/>
            <w:noWrap/>
            <w:vAlign w:val="bottom"/>
            <w:hideMark/>
          </w:tcPr>
          <w:p w:rsidR="000705A8" w:rsidRPr="0071573C" w:rsidRDefault="000705A8" w:rsidP="000705A8">
            <w:pPr>
              <w:spacing w:after="0" w:line="240" w:lineRule="auto"/>
              <w:rPr>
                <w:rFonts w:ascii="Times New Roman" w:eastAsia="Times New Roman" w:hAnsi="Times New Roman"/>
                <w:b/>
                <w:lang w:val="en-IN" w:eastAsia="en-IN"/>
              </w:rPr>
            </w:pPr>
            <w:r w:rsidRPr="0071573C">
              <w:rPr>
                <w:rFonts w:ascii="Times New Roman" w:eastAsia="Times New Roman" w:hAnsi="Times New Roman"/>
                <w:b/>
                <w:lang w:val="en-IN" w:eastAsia="en-IN"/>
              </w:rPr>
              <w:t>2019-20</w:t>
            </w:r>
          </w:p>
        </w:tc>
        <w:tc>
          <w:tcPr>
            <w:tcW w:w="527" w:type="pct"/>
            <w:shd w:val="clear" w:color="auto" w:fill="auto"/>
            <w:noWrap/>
            <w:vAlign w:val="bottom"/>
            <w:hideMark/>
          </w:tcPr>
          <w:p w:rsidR="000705A8" w:rsidRPr="0071573C" w:rsidRDefault="000705A8" w:rsidP="000705A8">
            <w:pPr>
              <w:spacing w:after="0" w:line="240" w:lineRule="auto"/>
              <w:rPr>
                <w:rFonts w:ascii="Times New Roman" w:eastAsia="Times New Roman" w:hAnsi="Times New Roman"/>
                <w:b/>
                <w:lang w:val="en-IN" w:eastAsia="en-IN"/>
              </w:rPr>
            </w:pPr>
            <w:r w:rsidRPr="0071573C">
              <w:rPr>
                <w:rFonts w:ascii="Times New Roman" w:eastAsia="Times New Roman" w:hAnsi="Times New Roman"/>
                <w:b/>
                <w:lang w:val="en-IN" w:eastAsia="en-IN"/>
              </w:rPr>
              <w:t>2020-21</w:t>
            </w:r>
          </w:p>
        </w:tc>
      </w:tr>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lang w:val="en-IN" w:eastAsia="en-IN"/>
              </w:rPr>
            </w:pPr>
            <w:r w:rsidRPr="000705A8">
              <w:rPr>
                <w:rFonts w:ascii="Times New Roman" w:eastAsia="Times New Roman" w:hAnsi="Times New Roman"/>
                <w:lang w:val="en-IN" w:eastAsia="en-IN"/>
              </w:rPr>
              <w:t>Agriculture, forestry and fishing</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3.88</w:t>
            </w:r>
          </w:p>
        </w:tc>
        <w:tc>
          <w:tcPr>
            <w:tcW w:w="534"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8.90</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16.26</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11.41</w:t>
            </w:r>
          </w:p>
        </w:tc>
        <w:tc>
          <w:tcPr>
            <w:tcW w:w="591"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4.00</w:t>
            </w:r>
          </w:p>
        </w:tc>
        <w:tc>
          <w:tcPr>
            <w:tcW w:w="527"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3.68</w:t>
            </w:r>
          </w:p>
        </w:tc>
      </w:tr>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Primary</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4.02</w:t>
            </w:r>
          </w:p>
        </w:tc>
        <w:tc>
          <w:tcPr>
            <w:tcW w:w="534"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8.80</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16.06</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11.17</w:t>
            </w:r>
          </w:p>
        </w:tc>
        <w:tc>
          <w:tcPr>
            <w:tcW w:w="591"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3.92</w:t>
            </w:r>
          </w:p>
        </w:tc>
        <w:tc>
          <w:tcPr>
            <w:tcW w:w="527"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3.62</w:t>
            </w:r>
          </w:p>
        </w:tc>
      </w:tr>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Secondary</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11.04</w:t>
            </w:r>
          </w:p>
        </w:tc>
        <w:tc>
          <w:tcPr>
            <w:tcW w:w="534"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8.22</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14.95</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6.56</w:t>
            </w:r>
          </w:p>
        </w:tc>
        <w:tc>
          <w:tcPr>
            <w:tcW w:w="591"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-0.11</w:t>
            </w:r>
          </w:p>
        </w:tc>
        <w:tc>
          <w:tcPr>
            <w:tcW w:w="527"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-0.40</w:t>
            </w:r>
          </w:p>
        </w:tc>
      </w:tr>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Tertiary</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6.52</w:t>
            </w:r>
          </w:p>
        </w:tc>
        <w:tc>
          <w:tcPr>
            <w:tcW w:w="534"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1.23</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4.16</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11.54</w:t>
            </w:r>
          </w:p>
        </w:tc>
        <w:tc>
          <w:tcPr>
            <w:tcW w:w="591"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20.92</w:t>
            </w:r>
          </w:p>
        </w:tc>
        <w:tc>
          <w:tcPr>
            <w:tcW w:w="527"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iCs/>
                <w:lang w:val="en-IN" w:eastAsia="en-IN"/>
              </w:rPr>
            </w:pPr>
            <w:r w:rsidRPr="000705A8">
              <w:rPr>
                <w:rFonts w:ascii="Times New Roman" w:eastAsia="Times New Roman" w:hAnsi="Times New Roman"/>
                <w:b/>
                <w:bCs/>
                <w:iCs/>
                <w:lang w:val="en-IN" w:eastAsia="en-IN"/>
              </w:rPr>
              <w:t>11.71</w:t>
            </w:r>
          </w:p>
        </w:tc>
      </w:tr>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b/>
                <w:bCs/>
                <w:lang w:val="en-IN" w:eastAsia="en-IN"/>
              </w:rPr>
            </w:pPr>
            <w:r w:rsidRPr="000705A8">
              <w:rPr>
                <w:rFonts w:ascii="Times New Roman" w:eastAsia="Times New Roman" w:hAnsi="Times New Roman"/>
                <w:b/>
                <w:bCs/>
                <w:lang w:val="en-IN" w:eastAsia="en-IN"/>
              </w:rPr>
              <w:t xml:space="preserve">TOTAL GSVA </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lang w:val="en-IN" w:eastAsia="en-IN"/>
              </w:rPr>
            </w:pPr>
            <w:r w:rsidRPr="000705A8">
              <w:rPr>
                <w:rFonts w:ascii="Times New Roman" w:eastAsia="Times New Roman" w:hAnsi="Times New Roman"/>
                <w:b/>
                <w:bCs/>
                <w:lang w:val="en-IN" w:eastAsia="en-IN"/>
              </w:rPr>
              <w:t>9.09</w:t>
            </w:r>
          </w:p>
        </w:tc>
        <w:tc>
          <w:tcPr>
            <w:tcW w:w="534"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lang w:val="en-IN" w:eastAsia="en-IN"/>
              </w:rPr>
            </w:pPr>
            <w:r w:rsidRPr="000705A8">
              <w:rPr>
                <w:rFonts w:ascii="Times New Roman" w:eastAsia="Times New Roman" w:hAnsi="Times New Roman"/>
                <w:b/>
                <w:bCs/>
                <w:lang w:val="en-IN" w:eastAsia="en-IN"/>
              </w:rPr>
              <w:t>6.16</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lang w:val="en-IN" w:eastAsia="en-IN"/>
              </w:rPr>
            </w:pPr>
            <w:r w:rsidRPr="000705A8">
              <w:rPr>
                <w:rFonts w:ascii="Times New Roman" w:eastAsia="Times New Roman" w:hAnsi="Times New Roman"/>
                <w:b/>
                <w:bCs/>
                <w:lang w:val="en-IN" w:eastAsia="en-IN"/>
              </w:rPr>
              <w:t>11.94</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lang w:val="en-IN" w:eastAsia="en-IN"/>
              </w:rPr>
            </w:pPr>
            <w:r w:rsidRPr="000705A8">
              <w:rPr>
                <w:rFonts w:ascii="Times New Roman" w:eastAsia="Times New Roman" w:hAnsi="Times New Roman"/>
                <w:b/>
                <w:bCs/>
                <w:lang w:val="en-IN" w:eastAsia="en-IN"/>
              </w:rPr>
              <w:t>8.26</w:t>
            </w:r>
          </w:p>
        </w:tc>
        <w:tc>
          <w:tcPr>
            <w:tcW w:w="591"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lang w:val="en-IN" w:eastAsia="en-IN"/>
              </w:rPr>
            </w:pPr>
            <w:r w:rsidRPr="000705A8">
              <w:rPr>
                <w:rFonts w:ascii="Times New Roman" w:eastAsia="Times New Roman" w:hAnsi="Times New Roman"/>
                <w:b/>
                <w:bCs/>
                <w:lang w:val="en-IN" w:eastAsia="en-IN"/>
              </w:rPr>
              <w:t>6.01</w:t>
            </w:r>
          </w:p>
        </w:tc>
        <w:tc>
          <w:tcPr>
            <w:tcW w:w="527"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b/>
                <w:bCs/>
                <w:lang w:val="en-IN" w:eastAsia="en-IN"/>
              </w:rPr>
            </w:pPr>
            <w:r w:rsidRPr="000705A8">
              <w:rPr>
                <w:rFonts w:ascii="Times New Roman" w:eastAsia="Times New Roman" w:hAnsi="Times New Roman"/>
                <w:b/>
                <w:bCs/>
                <w:lang w:val="en-IN" w:eastAsia="en-IN"/>
              </w:rPr>
              <w:t>3.73</w:t>
            </w:r>
          </w:p>
        </w:tc>
      </w:tr>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lang w:val="en-IN" w:eastAsia="en-IN"/>
              </w:rPr>
            </w:pPr>
            <w:r>
              <w:rPr>
                <w:rFonts w:ascii="Times New Roman" w:eastAsia="Times New Roman" w:hAnsi="Times New Roman"/>
                <w:lang w:val="en-IN" w:eastAsia="en-IN"/>
              </w:rPr>
              <w:t>GSDP</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9.93</w:t>
            </w:r>
          </w:p>
        </w:tc>
        <w:tc>
          <w:tcPr>
            <w:tcW w:w="534"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7.15</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14.78</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5.38</w:t>
            </w:r>
          </w:p>
        </w:tc>
        <w:tc>
          <w:tcPr>
            <w:tcW w:w="591"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5.77</w:t>
            </w:r>
          </w:p>
        </w:tc>
        <w:tc>
          <w:tcPr>
            <w:tcW w:w="527"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3.73</w:t>
            </w:r>
          </w:p>
        </w:tc>
      </w:tr>
      <w:tr w:rsidR="000705A8" w:rsidRPr="000705A8" w:rsidTr="00C713BA">
        <w:trPr>
          <w:trHeight w:val="361"/>
        </w:trPr>
        <w:tc>
          <w:tcPr>
            <w:tcW w:w="1744" w:type="pct"/>
            <w:shd w:val="clear" w:color="auto" w:fill="auto"/>
            <w:vAlign w:val="center"/>
            <w:hideMark/>
          </w:tcPr>
          <w:p w:rsidR="000705A8" w:rsidRPr="000705A8" w:rsidRDefault="000705A8" w:rsidP="000705A8">
            <w:pPr>
              <w:spacing w:after="0" w:line="240" w:lineRule="auto"/>
              <w:rPr>
                <w:rFonts w:ascii="Times New Roman" w:eastAsia="Times New Roman" w:hAnsi="Times New Roman"/>
                <w:lang w:val="en-IN" w:eastAsia="en-IN"/>
              </w:rPr>
            </w:pPr>
            <w:r w:rsidRPr="000705A8">
              <w:rPr>
                <w:rFonts w:ascii="Times New Roman" w:eastAsia="Times New Roman" w:hAnsi="Times New Roman"/>
                <w:lang w:val="en-IN" w:eastAsia="en-IN"/>
              </w:rPr>
              <w:t>Per Capita GSDP (Rs.)</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8.73</w:t>
            </w:r>
          </w:p>
        </w:tc>
        <w:tc>
          <w:tcPr>
            <w:tcW w:w="534"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5.99</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13.55</w:t>
            </w:r>
          </w:p>
        </w:tc>
        <w:tc>
          <w:tcPr>
            <w:tcW w:w="535"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4.43</w:t>
            </w:r>
          </w:p>
        </w:tc>
        <w:tc>
          <w:tcPr>
            <w:tcW w:w="591"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4.66</w:t>
            </w:r>
          </w:p>
        </w:tc>
        <w:tc>
          <w:tcPr>
            <w:tcW w:w="527" w:type="pct"/>
            <w:shd w:val="clear" w:color="auto" w:fill="auto"/>
            <w:vAlign w:val="center"/>
            <w:hideMark/>
          </w:tcPr>
          <w:p w:rsidR="000705A8" w:rsidRPr="000705A8" w:rsidRDefault="000705A8" w:rsidP="000705A8">
            <w:pPr>
              <w:spacing w:after="0" w:line="240" w:lineRule="auto"/>
              <w:jc w:val="right"/>
              <w:rPr>
                <w:rFonts w:ascii="Times New Roman" w:eastAsia="Times New Roman" w:hAnsi="Times New Roman"/>
                <w:lang w:val="en-IN" w:eastAsia="en-IN"/>
              </w:rPr>
            </w:pPr>
            <w:r w:rsidRPr="000705A8">
              <w:rPr>
                <w:rFonts w:ascii="Times New Roman" w:eastAsia="Times New Roman" w:hAnsi="Times New Roman"/>
                <w:lang w:val="en-IN" w:eastAsia="en-IN"/>
              </w:rPr>
              <w:t>2.80</w:t>
            </w:r>
          </w:p>
        </w:tc>
      </w:tr>
    </w:tbl>
    <w:p w:rsidR="00337605" w:rsidRPr="00930718" w:rsidRDefault="00337605" w:rsidP="00337605">
      <w:pPr>
        <w:rPr>
          <w:rFonts w:ascii="Times New Roman" w:eastAsia="Times New Roman" w:hAnsi="Times New Roman"/>
          <w:sz w:val="20"/>
          <w:szCs w:val="20"/>
        </w:rPr>
      </w:pPr>
      <w:r w:rsidRPr="0071573C">
        <w:rPr>
          <w:rFonts w:ascii="Times New Roman" w:eastAsia="Times New Roman" w:hAnsi="Times New Roman"/>
          <w:b/>
          <w:sz w:val="20"/>
          <w:szCs w:val="20"/>
        </w:rPr>
        <w:t>Source:</w:t>
      </w:r>
      <w:r w:rsidRPr="00930718">
        <w:rPr>
          <w:rFonts w:ascii="Times New Roman" w:eastAsia="Times New Roman" w:hAnsi="Times New Roman"/>
          <w:sz w:val="20"/>
          <w:szCs w:val="20"/>
        </w:rPr>
        <w:t xml:space="preserve"> </w:t>
      </w:r>
      <w:r w:rsidR="00135EB9" w:rsidRPr="00135EB9">
        <w:rPr>
          <w:rFonts w:ascii="Times New Roman" w:eastAsia="Times New Roman" w:hAnsi="Times New Roman"/>
          <w:i/>
          <w:sz w:val="20"/>
          <w:szCs w:val="20"/>
        </w:rPr>
        <w:t>Ibid.</w:t>
      </w:r>
    </w:p>
    <w:p w:rsidR="00337605" w:rsidRPr="003072AF" w:rsidRDefault="00337605" w:rsidP="003072AF">
      <w:pPr>
        <w:spacing w:line="360" w:lineRule="auto"/>
        <w:jc w:val="both"/>
        <w:rPr>
          <w:rFonts w:ascii="Times New Roman" w:eastAsia="Times New Roman" w:hAnsi="Times New Roman"/>
          <w:b/>
          <w:bCs/>
          <w:sz w:val="24"/>
          <w:szCs w:val="24"/>
        </w:rPr>
      </w:pPr>
      <w:r w:rsidRPr="003072AF">
        <w:rPr>
          <w:rFonts w:ascii="Times New Roman" w:eastAsia="Times New Roman" w:hAnsi="Times New Roman"/>
          <w:b/>
          <w:sz w:val="24"/>
          <w:szCs w:val="24"/>
        </w:rPr>
        <w:t xml:space="preserve">2.2 </w:t>
      </w:r>
      <w:r w:rsidR="007E16FE">
        <w:rPr>
          <w:rFonts w:ascii="Times New Roman" w:eastAsia="Times New Roman" w:hAnsi="Times New Roman"/>
          <w:b/>
          <w:sz w:val="24"/>
          <w:szCs w:val="24"/>
        </w:rPr>
        <w:t xml:space="preserve">Contribution of Various </w:t>
      </w:r>
      <w:r w:rsidRPr="003072AF">
        <w:rPr>
          <w:rFonts w:ascii="Times New Roman" w:eastAsia="Times New Roman" w:hAnsi="Times New Roman"/>
          <w:b/>
          <w:sz w:val="24"/>
          <w:szCs w:val="24"/>
        </w:rPr>
        <w:t>Sector</w:t>
      </w:r>
      <w:r w:rsidR="007E16FE">
        <w:rPr>
          <w:rFonts w:ascii="Times New Roman" w:eastAsia="Times New Roman" w:hAnsi="Times New Roman"/>
          <w:b/>
          <w:sz w:val="24"/>
          <w:szCs w:val="24"/>
        </w:rPr>
        <w:t xml:space="preserve">s to the </w:t>
      </w:r>
      <w:r w:rsidRPr="003072AF">
        <w:rPr>
          <w:rFonts w:ascii="Times New Roman" w:eastAsia="Times New Roman" w:hAnsi="Times New Roman"/>
          <w:b/>
          <w:sz w:val="24"/>
          <w:szCs w:val="24"/>
        </w:rPr>
        <w:t>GSDP</w:t>
      </w:r>
    </w:p>
    <w:p w:rsidR="00B37001" w:rsidRDefault="007E16FE" w:rsidP="003072A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Composition of GSDP </w:t>
      </w:r>
      <w:r w:rsidR="00B37001">
        <w:rPr>
          <w:rFonts w:ascii="Times New Roman" w:eastAsia="Times New Roman" w:hAnsi="Times New Roman"/>
          <w:sz w:val="24"/>
          <w:szCs w:val="24"/>
        </w:rPr>
        <w:t xml:space="preserve">at constant prices </w:t>
      </w:r>
      <w:r w:rsidR="00E923AE">
        <w:rPr>
          <w:rFonts w:ascii="Times New Roman" w:eastAsia="Times New Roman" w:hAnsi="Times New Roman"/>
          <w:sz w:val="24"/>
          <w:szCs w:val="24"/>
        </w:rPr>
        <w:t>given in t</w:t>
      </w:r>
      <w:r>
        <w:rPr>
          <w:rFonts w:ascii="Times New Roman" w:eastAsia="Times New Roman" w:hAnsi="Times New Roman"/>
          <w:sz w:val="24"/>
          <w:szCs w:val="24"/>
        </w:rPr>
        <w:t xml:space="preserve">able 2.3 shows that </w:t>
      </w:r>
      <w:r w:rsidR="00337605" w:rsidRPr="003072AF">
        <w:rPr>
          <w:rFonts w:ascii="Times New Roman" w:eastAsia="Times New Roman" w:hAnsi="Times New Roman"/>
          <w:sz w:val="24"/>
          <w:szCs w:val="24"/>
        </w:rPr>
        <w:t>industry sector</w:t>
      </w:r>
      <w:r>
        <w:rPr>
          <w:rFonts w:ascii="Times New Roman" w:eastAsia="Times New Roman" w:hAnsi="Times New Roman"/>
          <w:sz w:val="24"/>
          <w:szCs w:val="24"/>
        </w:rPr>
        <w:t xml:space="preserve">, which contains </w:t>
      </w:r>
      <w:r w:rsidRPr="003072AF">
        <w:rPr>
          <w:rFonts w:ascii="Times New Roman" w:eastAsia="Times New Roman" w:hAnsi="Times New Roman"/>
          <w:sz w:val="24"/>
          <w:szCs w:val="24"/>
        </w:rPr>
        <w:t>manufacturing, construction, and electricity</w:t>
      </w:r>
      <w:r>
        <w:rPr>
          <w:rFonts w:ascii="Times New Roman" w:eastAsia="Times New Roman" w:hAnsi="Times New Roman"/>
          <w:sz w:val="24"/>
          <w:szCs w:val="24"/>
        </w:rPr>
        <w:t>,</w:t>
      </w:r>
      <w:r w:rsidRPr="003072AF">
        <w:rPr>
          <w:rFonts w:ascii="Times New Roman" w:eastAsia="Times New Roman" w:hAnsi="Times New Roman"/>
          <w:sz w:val="24"/>
          <w:szCs w:val="24"/>
        </w:rPr>
        <w:t xml:space="preserve"> </w:t>
      </w:r>
      <w:r w:rsidR="00337605" w:rsidRPr="003072AF">
        <w:rPr>
          <w:rFonts w:ascii="Times New Roman" w:eastAsia="Times New Roman" w:hAnsi="Times New Roman"/>
          <w:sz w:val="24"/>
          <w:szCs w:val="24"/>
        </w:rPr>
        <w:t xml:space="preserve">is the largest contributor </w:t>
      </w:r>
      <w:r w:rsidR="00B37001">
        <w:rPr>
          <w:rFonts w:ascii="Times New Roman" w:eastAsia="Times New Roman" w:hAnsi="Times New Roman"/>
          <w:sz w:val="24"/>
          <w:szCs w:val="24"/>
        </w:rPr>
        <w:t xml:space="preserve">to </w:t>
      </w:r>
      <w:r w:rsidR="00337605" w:rsidRPr="003072AF">
        <w:rPr>
          <w:rFonts w:ascii="Times New Roman" w:eastAsia="Times New Roman" w:hAnsi="Times New Roman"/>
          <w:sz w:val="24"/>
          <w:szCs w:val="24"/>
        </w:rPr>
        <w:t>the economy.</w:t>
      </w:r>
      <w:r w:rsidR="00B37001">
        <w:rPr>
          <w:rFonts w:ascii="Times New Roman" w:eastAsia="Times New Roman" w:hAnsi="Times New Roman"/>
          <w:sz w:val="24"/>
          <w:szCs w:val="24"/>
        </w:rPr>
        <w:t xml:space="preserve"> On an average i</w:t>
      </w:r>
      <w:r w:rsidR="00337605" w:rsidRPr="003072AF">
        <w:rPr>
          <w:rFonts w:ascii="Times New Roman" w:eastAsia="Times New Roman" w:hAnsi="Times New Roman"/>
          <w:sz w:val="24"/>
          <w:szCs w:val="24"/>
        </w:rPr>
        <w:t xml:space="preserve">ndustry </w:t>
      </w:r>
      <w:r w:rsidR="00B37001" w:rsidRPr="003072AF">
        <w:rPr>
          <w:rFonts w:ascii="Times New Roman" w:eastAsia="Times New Roman" w:hAnsi="Times New Roman"/>
          <w:sz w:val="24"/>
          <w:szCs w:val="24"/>
        </w:rPr>
        <w:t xml:space="preserve">sector </w:t>
      </w:r>
      <w:r w:rsidR="00B37001">
        <w:rPr>
          <w:rFonts w:ascii="Times New Roman" w:eastAsia="Times New Roman" w:hAnsi="Times New Roman"/>
          <w:sz w:val="24"/>
          <w:szCs w:val="24"/>
        </w:rPr>
        <w:t xml:space="preserve">accounts for about 63 percent of state GSDP during 2014-15 to 2019-20. Manufacturing is the largest component in this sector, which accounts for about 45 percent of the GSDP during this period. While the relative share of industry sector increased from 61.2 percent in 2014-15 to 64.2 percent in 2018-19, mostly driven by manufacturing activities, it declined in 2019-20 to 60.5 percent. </w:t>
      </w:r>
    </w:p>
    <w:p w:rsidR="00337605" w:rsidRDefault="00333EE1" w:rsidP="003072A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337605" w:rsidRPr="003072AF">
        <w:rPr>
          <w:rFonts w:ascii="Times New Roman" w:eastAsia="Times New Roman" w:hAnsi="Times New Roman"/>
          <w:sz w:val="24"/>
          <w:szCs w:val="24"/>
        </w:rPr>
        <w:t>service sector including trade, hotel, transport, real estate, and financial services is an important component of the economy</w:t>
      </w:r>
      <w:r>
        <w:rPr>
          <w:rFonts w:ascii="Times New Roman" w:eastAsia="Times New Roman" w:hAnsi="Times New Roman"/>
          <w:sz w:val="24"/>
          <w:szCs w:val="24"/>
        </w:rPr>
        <w:t xml:space="preserve">. </w:t>
      </w:r>
      <w:r w:rsidR="00B37001">
        <w:rPr>
          <w:rFonts w:ascii="Times New Roman" w:eastAsia="Times New Roman" w:hAnsi="Times New Roman"/>
          <w:sz w:val="24"/>
          <w:szCs w:val="24"/>
        </w:rPr>
        <w:t>Relative share of services sector remained subdued until 2018-19, after which improvement is seen in 2019-20. Relative share of a</w:t>
      </w:r>
      <w:r w:rsidR="00337605" w:rsidRPr="003072AF">
        <w:rPr>
          <w:rFonts w:ascii="Times New Roman" w:eastAsia="Times New Roman" w:hAnsi="Times New Roman"/>
          <w:sz w:val="24"/>
          <w:szCs w:val="24"/>
        </w:rPr>
        <w:t xml:space="preserve">gricultural sector </w:t>
      </w:r>
      <w:r w:rsidR="00B37001">
        <w:rPr>
          <w:rFonts w:ascii="Times New Roman" w:eastAsia="Times New Roman" w:hAnsi="Times New Roman"/>
          <w:sz w:val="24"/>
          <w:szCs w:val="24"/>
        </w:rPr>
        <w:t xml:space="preserve">including other associated activities remained more or less stagnant during 2014-15 to 2019-20. A marginal improvement in its relative share is seen during this period. </w:t>
      </w:r>
      <w:r w:rsidR="00337605" w:rsidRPr="003072AF">
        <w:rPr>
          <w:rFonts w:ascii="Times New Roman" w:eastAsia="Times New Roman" w:hAnsi="Times New Roman"/>
          <w:sz w:val="24"/>
          <w:szCs w:val="24"/>
        </w:rPr>
        <w:t xml:space="preserve">The services sector, which consists of financial service, hotel industry, transport services, services relating to real estate, and public administration, has been a growing sector in the national economy. Improving service sectors augurs well for revenue generation and particularly for states in increasing the GST collection. </w:t>
      </w:r>
    </w:p>
    <w:p w:rsidR="000C7EF4" w:rsidRDefault="000C7EF4" w:rsidP="003072AF">
      <w:pPr>
        <w:spacing w:line="360" w:lineRule="auto"/>
        <w:jc w:val="both"/>
        <w:rPr>
          <w:rFonts w:ascii="Times New Roman" w:eastAsia="Times New Roman" w:hAnsi="Times New Roman"/>
          <w:sz w:val="24"/>
          <w:szCs w:val="24"/>
        </w:rPr>
      </w:pPr>
    </w:p>
    <w:p w:rsidR="000C7EF4" w:rsidRDefault="00337605" w:rsidP="000C7EF4">
      <w:pPr>
        <w:spacing w:after="0" w:line="240" w:lineRule="auto"/>
        <w:jc w:val="center"/>
        <w:rPr>
          <w:rFonts w:ascii="Times New Roman" w:eastAsia="Times New Roman" w:hAnsi="Times New Roman"/>
          <w:b/>
        </w:rPr>
      </w:pPr>
      <w:r w:rsidRPr="00942AA8">
        <w:rPr>
          <w:rFonts w:ascii="Times New Roman" w:eastAsia="Times New Roman" w:hAnsi="Times New Roman"/>
          <w:b/>
        </w:rPr>
        <w:lastRenderedPageBreak/>
        <w:t>Table 2.3</w:t>
      </w:r>
      <w:r w:rsidR="000C7EF4">
        <w:rPr>
          <w:rFonts w:ascii="Times New Roman" w:eastAsia="Times New Roman" w:hAnsi="Times New Roman"/>
          <w:b/>
        </w:rPr>
        <w:t xml:space="preserve">: </w:t>
      </w:r>
      <w:r w:rsidRPr="00942AA8">
        <w:rPr>
          <w:rFonts w:ascii="Times New Roman" w:eastAsia="Times New Roman" w:hAnsi="Times New Roman"/>
          <w:b/>
        </w:rPr>
        <w:t>Composition of GS</w:t>
      </w:r>
      <w:r w:rsidR="006968C9">
        <w:rPr>
          <w:rFonts w:ascii="Times New Roman" w:eastAsia="Times New Roman" w:hAnsi="Times New Roman"/>
          <w:b/>
        </w:rPr>
        <w:t>VA</w:t>
      </w:r>
      <w:r w:rsidRPr="00942AA8">
        <w:rPr>
          <w:rFonts w:ascii="Times New Roman" w:eastAsia="Times New Roman" w:hAnsi="Times New Roman"/>
          <w:b/>
        </w:rPr>
        <w:t xml:space="preserve"> </w:t>
      </w:r>
    </w:p>
    <w:p w:rsidR="00337605" w:rsidRPr="00942AA8" w:rsidRDefault="00337605" w:rsidP="000C7EF4">
      <w:pPr>
        <w:spacing w:after="0" w:line="240" w:lineRule="auto"/>
        <w:jc w:val="center"/>
        <w:rPr>
          <w:rFonts w:ascii="Times New Roman" w:eastAsia="Times New Roman" w:hAnsi="Times New Roman"/>
          <w:b/>
        </w:rPr>
      </w:pPr>
      <w:r w:rsidRPr="00942AA8">
        <w:rPr>
          <w:rFonts w:ascii="Times New Roman" w:eastAsia="Times New Roman" w:hAnsi="Times New Roman"/>
          <w:b/>
        </w:rPr>
        <w:t>(</w:t>
      </w:r>
      <w:r w:rsidR="000C7EF4">
        <w:rPr>
          <w:rFonts w:ascii="Times New Roman" w:eastAsia="Times New Roman" w:hAnsi="Times New Roman"/>
          <w:b/>
        </w:rPr>
        <w:t>c</w:t>
      </w:r>
      <w:r w:rsidRPr="00942AA8">
        <w:rPr>
          <w:rFonts w:ascii="Times New Roman" w:eastAsia="Times New Roman" w:hAnsi="Times New Roman"/>
          <w:b/>
        </w:rPr>
        <w:t xml:space="preserve">onstant </w:t>
      </w:r>
      <w:r w:rsidR="000C7EF4">
        <w:rPr>
          <w:rFonts w:ascii="Times New Roman" w:eastAsia="Times New Roman" w:hAnsi="Times New Roman"/>
          <w:b/>
        </w:rPr>
        <w:t>p</w:t>
      </w:r>
      <w:r w:rsidRPr="00942AA8">
        <w:rPr>
          <w:rFonts w:ascii="Times New Roman" w:eastAsia="Times New Roman" w:hAnsi="Times New Roman"/>
          <w:b/>
        </w:rPr>
        <w:t>rices)</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1"/>
        <w:gridCol w:w="991"/>
        <w:gridCol w:w="977"/>
        <w:gridCol w:w="1031"/>
        <w:gridCol w:w="975"/>
        <w:gridCol w:w="871"/>
        <w:gridCol w:w="866"/>
      </w:tblGrid>
      <w:tr w:rsidR="006968C9" w:rsidRPr="006968C9" w:rsidTr="00135EB9">
        <w:trPr>
          <w:trHeight w:val="308"/>
        </w:trPr>
        <w:tc>
          <w:tcPr>
            <w:tcW w:w="1866" w:type="pct"/>
            <w:vMerge w:val="restart"/>
            <w:shd w:val="clear" w:color="auto" w:fill="auto"/>
            <w:noWrap/>
            <w:vAlign w:val="center"/>
            <w:hideMark/>
          </w:tcPr>
          <w:p w:rsidR="006968C9" w:rsidRPr="006968C9" w:rsidRDefault="006968C9" w:rsidP="006968C9">
            <w:pPr>
              <w:spacing w:after="0" w:line="240" w:lineRule="auto"/>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Economic Activity</w:t>
            </w:r>
          </w:p>
        </w:tc>
        <w:tc>
          <w:tcPr>
            <w:tcW w:w="3134" w:type="pct"/>
            <w:gridSpan w:val="6"/>
            <w:shd w:val="clear" w:color="auto" w:fill="auto"/>
            <w:vAlign w:val="center"/>
          </w:tcPr>
          <w:p w:rsidR="006968C9" w:rsidRPr="006968C9" w:rsidRDefault="006968C9" w:rsidP="006968C9">
            <w:pPr>
              <w:spacing w:after="0" w:line="240" w:lineRule="auto"/>
              <w:jc w:val="center"/>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Percentage Share (%)</w:t>
            </w:r>
          </w:p>
        </w:tc>
      </w:tr>
      <w:tr w:rsidR="006968C9" w:rsidRPr="006968C9" w:rsidTr="00135EB9">
        <w:trPr>
          <w:trHeight w:val="363"/>
        </w:trPr>
        <w:tc>
          <w:tcPr>
            <w:tcW w:w="1866" w:type="pct"/>
            <w:vMerge/>
            <w:vAlign w:val="center"/>
            <w:hideMark/>
          </w:tcPr>
          <w:p w:rsidR="006968C9" w:rsidRPr="006968C9" w:rsidRDefault="006968C9" w:rsidP="006968C9">
            <w:pPr>
              <w:spacing w:after="0" w:line="240" w:lineRule="auto"/>
              <w:rPr>
                <w:rFonts w:ascii="Times New Roman" w:eastAsia="Times New Roman" w:hAnsi="Times New Roman"/>
                <w:b/>
                <w:bCs/>
                <w:color w:val="000000"/>
                <w:sz w:val="20"/>
                <w:szCs w:val="20"/>
              </w:rPr>
            </w:pPr>
          </w:p>
        </w:tc>
        <w:tc>
          <w:tcPr>
            <w:tcW w:w="544" w:type="pct"/>
            <w:shd w:val="clear" w:color="auto" w:fill="auto"/>
            <w:vAlign w:val="center"/>
            <w:hideMark/>
          </w:tcPr>
          <w:p w:rsidR="006968C9" w:rsidRPr="006968C9" w:rsidRDefault="006968C9" w:rsidP="006968C9">
            <w:pPr>
              <w:spacing w:after="0" w:line="240" w:lineRule="auto"/>
              <w:jc w:val="center"/>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2014-15</w:t>
            </w:r>
          </w:p>
        </w:tc>
        <w:tc>
          <w:tcPr>
            <w:tcW w:w="536" w:type="pct"/>
            <w:shd w:val="clear" w:color="auto" w:fill="auto"/>
            <w:vAlign w:val="center"/>
            <w:hideMark/>
          </w:tcPr>
          <w:p w:rsidR="006968C9" w:rsidRPr="006968C9" w:rsidRDefault="006968C9" w:rsidP="006968C9">
            <w:pPr>
              <w:spacing w:after="0" w:line="240" w:lineRule="auto"/>
              <w:jc w:val="center"/>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2015-16</w:t>
            </w:r>
          </w:p>
        </w:tc>
        <w:tc>
          <w:tcPr>
            <w:tcW w:w="566" w:type="pct"/>
            <w:shd w:val="clear" w:color="auto" w:fill="auto"/>
            <w:vAlign w:val="center"/>
            <w:hideMark/>
          </w:tcPr>
          <w:p w:rsidR="006968C9" w:rsidRPr="006968C9" w:rsidRDefault="006968C9" w:rsidP="006968C9">
            <w:pPr>
              <w:spacing w:after="0" w:line="240" w:lineRule="auto"/>
              <w:jc w:val="center"/>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2016-17</w:t>
            </w:r>
          </w:p>
        </w:tc>
        <w:tc>
          <w:tcPr>
            <w:tcW w:w="535" w:type="pct"/>
            <w:vAlign w:val="center"/>
          </w:tcPr>
          <w:p w:rsidR="006968C9" w:rsidRPr="006968C9" w:rsidRDefault="006968C9" w:rsidP="006968C9">
            <w:pPr>
              <w:spacing w:after="0" w:line="240" w:lineRule="auto"/>
              <w:jc w:val="center"/>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2017-18</w:t>
            </w:r>
          </w:p>
        </w:tc>
        <w:tc>
          <w:tcPr>
            <w:tcW w:w="478" w:type="pct"/>
            <w:vAlign w:val="center"/>
          </w:tcPr>
          <w:p w:rsidR="006968C9" w:rsidRPr="006968C9" w:rsidRDefault="006968C9" w:rsidP="006968C9">
            <w:pPr>
              <w:spacing w:after="0" w:line="240" w:lineRule="auto"/>
              <w:jc w:val="center"/>
              <w:rPr>
                <w:rFonts w:ascii="Times New Roman" w:eastAsia="Times New Roman" w:hAnsi="Times New Roman"/>
                <w:b/>
                <w:color w:val="000000"/>
                <w:sz w:val="20"/>
                <w:szCs w:val="20"/>
              </w:rPr>
            </w:pPr>
            <w:r w:rsidRPr="006968C9">
              <w:rPr>
                <w:rFonts w:ascii="Times New Roman" w:eastAsia="Times New Roman" w:hAnsi="Times New Roman"/>
                <w:b/>
                <w:color w:val="000000"/>
                <w:sz w:val="20"/>
                <w:szCs w:val="20"/>
              </w:rPr>
              <w:t>2018-19</w:t>
            </w:r>
          </w:p>
        </w:tc>
        <w:tc>
          <w:tcPr>
            <w:tcW w:w="476" w:type="pct"/>
            <w:vAlign w:val="center"/>
          </w:tcPr>
          <w:p w:rsidR="006968C9" w:rsidRPr="006968C9" w:rsidRDefault="006968C9" w:rsidP="006968C9">
            <w:pPr>
              <w:spacing w:after="0" w:line="240" w:lineRule="auto"/>
              <w:jc w:val="center"/>
              <w:rPr>
                <w:rFonts w:ascii="Times New Roman" w:eastAsia="Times New Roman" w:hAnsi="Times New Roman"/>
                <w:b/>
                <w:color w:val="000000"/>
                <w:sz w:val="20"/>
                <w:szCs w:val="20"/>
              </w:rPr>
            </w:pPr>
            <w:r w:rsidRPr="006968C9">
              <w:rPr>
                <w:rFonts w:ascii="Times New Roman" w:eastAsia="Times New Roman" w:hAnsi="Times New Roman"/>
                <w:b/>
                <w:color w:val="000000"/>
                <w:sz w:val="20"/>
                <w:szCs w:val="20"/>
              </w:rPr>
              <w:t>2019-20</w:t>
            </w:r>
          </w:p>
        </w:tc>
      </w:tr>
      <w:tr w:rsidR="006968C9" w:rsidRPr="006968C9" w:rsidTr="00135EB9">
        <w:trPr>
          <w:trHeight w:val="364"/>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Agriculture, Forestry and Fishing</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7.9</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7.5</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7.7</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8.0</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8.2</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8.1</w:t>
            </w:r>
          </w:p>
        </w:tc>
      </w:tr>
      <w:tr w:rsidR="006968C9" w:rsidRPr="006968C9" w:rsidTr="00135EB9">
        <w:trPr>
          <w:trHeight w:val="319"/>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Mining and Quarrying</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0.1</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0.1</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0.1</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0.1</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0.1</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0.1</w:t>
            </w:r>
          </w:p>
        </w:tc>
      </w:tr>
      <w:tr w:rsidR="006968C9" w:rsidRPr="006968C9" w:rsidTr="00135EB9">
        <w:trPr>
          <w:trHeight w:val="283"/>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Primary</w:t>
            </w:r>
          </w:p>
        </w:tc>
        <w:tc>
          <w:tcPr>
            <w:tcW w:w="544"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8.0</w:t>
            </w:r>
          </w:p>
        </w:tc>
        <w:tc>
          <w:tcPr>
            <w:tcW w:w="536"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7.6</w:t>
            </w:r>
          </w:p>
        </w:tc>
        <w:tc>
          <w:tcPr>
            <w:tcW w:w="566"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7.8</w:t>
            </w:r>
          </w:p>
        </w:tc>
        <w:tc>
          <w:tcPr>
            <w:tcW w:w="535"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8.1</w:t>
            </w:r>
          </w:p>
        </w:tc>
        <w:tc>
          <w:tcPr>
            <w:tcW w:w="478"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8.3</w:t>
            </w:r>
          </w:p>
        </w:tc>
        <w:tc>
          <w:tcPr>
            <w:tcW w:w="476" w:type="pct"/>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8.1</w:t>
            </w:r>
          </w:p>
        </w:tc>
      </w:tr>
      <w:tr w:rsidR="006968C9" w:rsidRPr="006968C9" w:rsidTr="00135EB9">
        <w:trPr>
          <w:trHeight w:val="283"/>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Manufacturing</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41.6</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43.5</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46.3</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48.0</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46.4</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42.6</w:t>
            </w:r>
          </w:p>
        </w:tc>
      </w:tr>
      <w:tr w:rsidR="006968C9" w:rsidRPr="006968C9" w:rsidTr="00135EB9">
        <w:trPr>
          <w:trHeight w:val="265"/>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Electricity, Gas, Water Supply &amp; Others</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14.4</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13.5</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12.7</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13.0</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13.7</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13.6</w:t>
            </w:r>
          </w:p>
        </w:tc>
      </w:tr>
      <w:tr w:rsidR="006968C9" w:rsidRPr="006968C9" w:rsidTr="00135EB9">
        <w:trPr>
          <w:trHeight w:val="364"/>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Construction</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5.3</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5.3</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4.5</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4.3</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4.1</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4.2</w:t>
            </w:r>
          </w:p>
        </w:tc>
      </w:tr>
      <w:tr w:rsidR="006968C9" w:rsidRPr="006968C9" w:rsidTr="00135EB9">
        <w:trPr>
          <w:trHeight w:val="155"/>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Secondary</w:t>
            </w:r>
          </w:p>
        </w:tc>
        <w:tc>
          <w:tcPr>
            <w:tcW w:w="544"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61.2</w:t>
            </w:r>
          </w:p>
        </w:tc>
        <w:tc>
          <w:tcPr>
            <w:tcW w:w="536"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62.3</w:t>
            </w:r>
          </w:p>
        </w:tc>
        <w:tc>
          <w:tcPr>
            <w:tcW w:w="566"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63.5</w:t>
            </w:r>
          </w:p>
        </w:tc>
        <w:tc>
          <w:tcPr>
            <w:tcW w:w="535"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65.2</w:t>
            </w:r>
          </w:p>
        </w:tc>
        <w:tc>
          <w:tcPr>
            <w:tcW w:w="478"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64.2</w:t>
            </w:r>
          </w:p>
        </w:tc>
        <w:tc>
          <w:tcPr>
            <w:tcW w:w="476" w:type="pct"/>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60.5</w:t>
            </w:r>
          </w:p>
        </w:tc>
      </w:tr>
      <w:tr w:rsidR="006968C9" w:rsidRPr="006968C9" w:rsidTr="00135EB9">
        <w:trPr>
          <w:trHeight w:val="426"/>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Trade, Repair, Hotels and Restaurants</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4.8</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4.5</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4.5</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4.7</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5.0</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5.3</w:t>
            </w:r>
          </w:p>
        </w:tc>
      </w:tr>
      <w:tr w:rsidR="006968C9" w:rsidRPr="006968C9" w:rsidTr="00135EB9">
        <w:trPr>
          <w:trHeight w:val="309"/>
        </w:trPr>
        <w:tc>
          <w:tcPr>
            <w:tcW w:w="1866" w:type="pct"/>
            <w:shd w:val="clear" w:color="auto" w:fill="auto"/>
            <w:vAlign w:val="center"/>
            <w:hideMark/>
          </w:tcPr>
          <w:p w:rsidR="006968C9" w:rsidRPr="006968C9" w:rsidRDefault="00135EB9" w:rsidP="006968C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Transport, Storage and</w:t>
            </w:r>
            <w:r w:rsidR="006968C9" w:rsidRPr="006968C9">
              <w:rPr>
                <w:rFonts w:ascii="Times New Roman" w:eastAsia="Times New Roman" w:hAnsi="Times New Roman"/>
                <w:color w:val="000000"/>
                <w:sz w:val="20"/>
                <w:szCs w:val="20"/>
              </w:rPr>
              <w:t xml:space="preserve"> Communication </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3.2</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3.1</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3.3</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3.1</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2.9</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3.0</w:t>
            </w:r>
          </w:p>
        </w:tc>
      </w:tr>
      <w:tr w:rsidR="006968C9" w:rsidRPr="006968C9" w:rsidTr="00135EB9">
        <w:trPr>
          <w:trHeight w:val="310"/>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Financial Services</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1.6</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2.7</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1.7</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1.5</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1.5</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1.5</w:t>
            </w:r>
          </w:p>
        </w:tc>
      </w:tr>
      <w:tr w:rsidR="006968C9" w:rsidRPr="006968C9" w:rsidTr="00135EB9">
        <w:trPr>
          <w:trHeight w:val="355"/>
        </w:trPr>
        <w:tc>
          <w:tcPr>
            <w:tcW w:w="1866" w:type="pct"/>
            <w:shd w:val="clear" w:color="auto" w:fill="auto"/>
            <w:vAlign w:val="center"/>
            <w:hideMark/>
          </w:tcPr>
          <w:p w:rsidR="006968C9" w:rsidRPr="006968C9" w:rsidRDefault="00135EB9" w:rsidP="006968C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Real E</w:t>
            </w:r>
            <w:r w:rsidR="006968C9" w:rsidRPr="006968C9">
              <w:rPr>
                <w:rFonts w:ascii="Times New Roman" w:eastAsia="Times New Roman" w:hAnsi="Times New Roman"/>
                <w:color w:val="000000"/>
                <w:sz w:val="20"/>
                <w:szCs w:val="20"/>
              </w:rPr>
              <w:t>state</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5.0</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4.6</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4.5</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4.1</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3.9</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3.8</w:t>
            </w:r>
          </w:p>
        </w:tc>
      </w:tr>
      <w:tr w:rsidR="006968C9" w:rsidRPr="006968C9" w:rsidTr="00135EB9">
        <w:trPr>
          <w:trHeight w:val="301"/>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 xml:space="preserve">Public Administration </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7.1</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6.6</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6.2</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5.6</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6.8</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8.7</w:t>
            </w:r>
          </w:p>
        </w:tc>
      </w:tr>
      <w:tr w:rsidR="006968C9" w:rsidRPr="006968C9" w:rsidTr="00135EB9">
        <w:trPr>
          <w:trHeight w:val="274"/>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color w:val="000000"/>
                <w:sz w:val="20"/>
                <w:szCs w:val="20"/>
              </w:rPr>
            </w:pPr>
            <w:r w:rsidRPr="006968C9">
              <w:rPr>
                <w:rFonts w:ascii="Times New Roman" w:eastAsia="Times New Roman" w:hAnsi="Times New Roman"/>
                <w:color w:val="000000"/>
                <w:sz w:val="20"/>
                <w:szCs w:val="20"/>
              </w:rPr>
              <w:t>Other Services</w:t>
            </w:r>
          </w:p>
        </w:tc>
        <w:tc>
          <w:tcPr>
            <w:tcW w:w="544"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9.3</w:t>
            </w:r>
          </w:p>
        </w:tc>
        <w:tc>
          <w:tcPr>
            <w:tcW w:w="53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8.6</w:t>
            </w:r>
          </w:p>
        </w:tc>
        <w:tc>
          <w:tcPr>
            <w:tcW w:w="566"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8.5</w:t>
            </w:r>
          </w:p>
        </w:tc>
        <w:tc>
          <w:tcPr>
            <w:tcW w:w="535"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7.8</w:t>
            </w:r>
          </w:p>
        </w:tc>
        <w:tc>
          <w:tcPr>
            <w:tcW w:w="478" w:type="pct"/>
            <w:shd w:val="clear" w:color="auto" w:fill="auto"/>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7.5</w:t>
            </w:r>
          </w:p>
        </w:tc>
        <w:tc>
          <w:tcPr>
            <w:tcW w:w="476" w:type="pct"/>
            <w:vAlign w:val="center"/>
          </w:tcPr>
          <w:p w:rsidR="006968C9" w:rsidRPr="006968C9" w:rsidRDefault="006968C9" w:rsidP="006968C9">
            <w:pPr>
              <w:spacing w:after="0"/>
              <w:jc w:val="center"/>
              <w:rPr>
                <w:rFonts w:ascii="Times New Roman" w:hAnsi="Times New Roman"/>
                <w:sz w:val="20"/>
                <w:szCs w:val="20"/>
              </w:rPr>
            </w:pPr>
            <w:r w:rsidRPr="006968C9">
              <w:rPr>
                <w:rFonts w:ascii="Times New Roman" w:hAnsi="Times New Roman"/>
                <w:sz w:val="20"/>
                <w:szCs w:val="20"/>
              </w:rPr>
              <w:t>9.1</w:t>
            </w:r>
          </w:p>
        </w:tc>
      </w:tr>
      <w:tr w:rsidR="006968C9" w:rsidRPr="006968C9" w:rsidTr="00135EB9">
        <w:trPr>
          <w:trHeight w:val="355"/>
        </w:trPr>
        <w:tc>
          <w:tcPr>
            <w:tcW w:w="1866" w:type="pct"/>
            <w:shd w:val="clear" w:color="auto" w:fill="auto"/>
            <w:vAlign w:val="center"/>
            <w:hideMark/>
          </w:tcPr>
          <w:p w:rsidR="006968C9" w:rsidRPr="006968C9" w:rsidRDefault="006968C9" w:rsidP="006968C9">
            <w:pPr>
              <w:spacing w:after="0" w:line="240" w:lineRule="auto"/>
              <w:rPr>
                <w:rFonts w:ascii="Times New Roman" w:eastAsia="Times New Roman" w:hAnsi="Times New Roman"/>
                <w:b/>
                <w:bCs/>
                <w:color w:val="000000"/>
                <w:sz w:val="20"/>
                <w:szCs w:val="20"/>
              </w:rPr>
            </w:pPr>
            <w:r w:rsidRPr="006968C9">
              <w:rPr>
                <w:rFonts w:ascii="Times New Roman" w:eastAsia="Times New Roman" w:hAnsi="Times New Roman"/>
                <w:b/>
                <w:color w:val="000000"/>
                <w:sz w:val="20"/>
                <w:szCs w:val="20"/>
              </w:rPr>
              <w:t>Tertiary</w:t>
            </w:r>
          </w:p>
        </w:tc>
        <w:tc>
          <w:tcPr>
            <w:tcW w:w="544"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30.8</w:t>
            </w:r>
          </w:p>
        </w:tc>
        <w:tc>
          <w:tcPr>
            <w:tcW w:w="536"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30.1</w:t>
            </w:r>
          </w:p>
        </w:tc>
        <w:tc>
          <w:tcPr>
            <w:tcW w:w="566"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28.7</w:t>
            </w:r>
          </w:p>
        </w:tc>
        <w:tc>
          <w:tcPr>
            <w:tcW w:w="535"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26.7</w:t>
            </w:r>
          </w:p>
        </w:tc>
        <w:tc>
          <w:tcPr>
            <w:tcW w:w="478" w:type="pct"/>
            <w:shd w:val="clear" w:color="auto" w:fill="auto"/>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27.5</w:t>
            </w:r>
          </w:p>
        </w:tc>
        <w:tc>
          <w:tcPr>
            <w:tcW w:w="476" w:type="pct"/>
            <w:vAlign w:val="center"/>
          </w:tcPr>
          <w:p w:rsidR="006968C9" w:rsidRPr="006968C9" w:rsidRDefault="006968C9" w:rsidP="006968C9">
            <w:pPr>
              <w:spacing w:after="0"/>
              <w:jc w:val="center"/>
              <w:rPr>
                <w:rFonts w:ascii="Times New Roman" w:hAnsi="Times New Roman"/>
                <w:b/>
                <w:sz w:val="20"/>
                <w:szCs w:val="20"/>
              </w:rPr>
            </w:pPr>
            <w:r w:rsidRPr="006968C9">
              <w:rPr>
                <w:rFonts w:ascii="Times New Roman" w:hAnsi="Times New Roman"/>
                <w:b/>
                <w:sz w:val="20"/>
                <w:szCs w:val="20"/>
              </w:rPr>
              <w:t>31.4</w:t>
            </w:r>
          </w:p>
        </w:tc>
      </w:tr>
    </w:tbl>
    <w:p w:rsidR="00337605" w:rsidRPr="000C7EF4" w:rsidRDefault="00337605" w:rsidP="00337605">
      <w:pPr>
        <w:rPr>
          <w:rFonts w:ascii="Times New Roman" w:eastAsia="Times New Roman" w:hAnsi="Times New Roman"/>
          <w:sz w:val="20"/>
          <w:szCs w:val="20"/>
        </w:rPr>
      </w:pPr>
      <w:r w:rsidRPr="000C7EF4">
        <w:rPr>
          <w:rFonts w:ascii="Times New Roman" w:eastAsia="Times New Roman" w:hAnsi="Times New Roman"/>
          <w:b/>
          <w:sz w:val="20"/>
          <w:szCs w:val="20"/>
        </w:rPr>
        <w:t>Source:</w:t>
      </w:r>
      <w:r w:rsidRPr="000C7EF4">
        <w:rPr>
          <w:rFonts w:ascii="Times New Roman" w:eastAsia="Times New Roman" w:hAnsi="Times New Roman"/>
          <w:sz w:val="20"/>
          <w:szCs w:val="20"/>
        </w:rPr>
        <w:t xml:space="preserve"> </w:t>
      </w:r>
      <w:r w:rsidR="00135EB9" w:rsidRPr="00135EB9">
        <w:rPr>
          <w:rFonts w:ascii="Times New Roman" w:eastAsia="Times New Roman" w:hAnsi="Times New Roman"/>
          <w:i/>
          <w:sz w:val="20"/>
          <w:szCs w:val="20"/>
        </w:rPr>
        <w:t>Ibid.</w:t>
      </w:r>
    </w:p>
    <w:p w:rsidR="00DC73D9" w:rsidRDefault="00DC73D9" w:rsidP="004D3DA6">
      <w:pPr>
        <w:spacing w:after="0" w:line="360" w:lineRule="auto"/>
        <w:jc w:val="both"/>
        <w:rPr>
          <w:rFonts w:ascii="Times New Roman" w:hAnsi="Times New Roman"/>
          <w:sz w:val="24"/>
          <w:szCs w:val="24"/>
        </w:rPr>
      </w:pPr>
    </w:p>
    <w:p w:rsidR="00942AA8" w:rsidRDefault="00942AA8"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252192" w:rsidRDefault="00252192" w:rsidP="004D3DA6">
      <w:pPr>
        <w:spacing w:after="0" w:line="360" w:lineRule="auto"/>
        <w:jc w:val="both"/>
        <w:rPr>
          <w:rFonts w:ascii="Times New Roman" w:hAnsi="Times New Roman"/>
          <w:sz w:val="24"/>
          <w:szCs w:val="24"/>
        </w:rPr>
      </w:pPr>
    </w:p>
    <w:p w:rsidR="00252192" w:rsidRDefault="00252192" w:rsidP="004D3DA6">
      <w:pPr>
        <w:spacing w:after="0" w:line="360" w:lineRule="auto"/>
        <w:jc w:val="both"/>
        <w:rPr>
          <w:rFonts w:ascii="Times New Roman" w:hAnsi="Times New Roman"/>
          <w:sz w:val="24"/>
          <w:szCs w:val="24"/>
        </w:rPr>
      </w:pPr>
    </w:p>
    <w:p w:rsidR="00252192" w:rsidRDefault="00252192" w:rsidP="004D3DA6">
      <w:pPr>
        <w:spacing w:after="0" w:line="360" w:lineRule="auto"/>
        <w:jc w:val="both"/>
        <w:rPr>
          <w:rFonts w:ascii="Times New Roman" w:hAnsi="Times New Roman"/>
          <w:sz w:val="24"/>
          <w:szCs w:val="24"/>
        </w:rPr>
      </w:pPr>
    </w:p>
    <w:p w:rsidR="00252192" w:rsidRDefault="00252192" w:rsidP="004D3DA6">
      <w:pPr>
        <w:spacing w:after="0" w:line="360" w:lineRule="auto"/>
        <w:jc w:val="both"/>
        <w:rPr>
          <w:rFonts w:ascii="Times New Roman" w:hAnsi="Times New Roman"/>
          <w:sz w:val="24"/>
          <w:szCs w:val="24"/>
        </w:rPr>
      </w:pPr>
    </w:p>
    <w:p w:rsidR="000C7EF4" w:rsidRDefault="000C7EF4" w:rsidP="004D3DA6">
      <w:pPr>
        <w:spacing w:after="0" w:line="360" w:lineRule="auto"/>
        <w:jc w:val="both"/>
        <w:rPr>
          <w:rFonts w:ascii="Times New Roman" w:hAnsi="Times New Roman"/>
          <w:sz w:val="24"/>
          <w:szCs w:val="24"/>
        </w:rPr>
      </w:pPr>
    </w:p>
    <w:p w:rsidR="00252192" w:rsidRDefault="00252192" w:rsidP="004D3DA6">
      <w:pPr>
        <w:spacing w:after="0" w:line="360" w:lineRule="auto"/>
        <w:jc w:val="both"/>
        <w:rPr>
          <w:rFonts w:ascii="Times New Roman" w:hAnsi="Times New Roman"/>
          <w:sz w:val="24"/>
          <w:szCs w:val="24"/>
        </w:rPr>
      </w:pPr>
    </w:p>
    <w:p w:rsidR="00252192" w:rsidRDefault="00252192" w:rsidP="004D3DA6">
      <w:pPr>
        <w:spacing w:after="0" w:line="360" w:lineRule="auto"/>
        <w:jc w:val="both"/>
        <w:rPr>
          <w:rFonts w:ascii="Times New Roman" w:hAnsi="Times New Roman"/>
          <w:sz w:val="24"/>
          <w:szCs w:val="24"/>
        </w:rPr>
      </w:pPr>
    </w:p>
    <w:p w:rsidR="00EC06CE" w:rsidRDefault="00EC06CE" w:rsidP="004D3DA6">
      <w:pPr>
        <w:spacing w:after="0" w:line="360" w:lineRule="auto"/>
        <w:jc w:val="both"/>
        <w:rPr>
          <w:rFonts w:ascii="Times New Roman" w:hAnsi="Times New Roman"/>
          <w:sz w:val="24"/>
          <w:szCs w:val="24"/>
        </w:rPr>
      </w:pPr>
    </w:p>
    <w:p w:rsidR="006941D5" w:rsidRPr="00AE6B8D" w:rsidRDefault="00131C26" w:rsidP="000C7EF4">
      <w:pPr>
        <w:pStyle w:val="Title"/>
        <w:numPr>
          <w:ilvl w:val="0"/>
          <w:numId w:val="10"/>
        </w:numPr>
        <w:jc w:val="center"/>
        <w:rPr>
          <w:rFonts w:ascii="Times New Roman" w:hAnsi="Times New Roman" w:cs="Times New Roman"/>
          <w:b/>
          <w:sz w:val="48"/>
          <w:szCs w:val="48"/>
        </w:rPr>
      </w:pPr>
      <w:r w:rsidRPr="00AE6B8D">
        <w:rPr>
          <w:rFonts w:ascii="Times New Roman" w:hAnsi="Times New Roman" w:cs="Times New Roman"/>
          <w:b/>
          <w:sz w:val="48"/>
          <w:szCs w:val="48"/>
        </w:rPr>
        <w:lastRenderedPageBreak/>
        <w:t xml:space="preserve">Review of </w:t>
      </w:r>
      <w:r w:rsidR="006941D5" w:rsidRPr="00AE6B8D">
        <w:rPr>
          <w:rFonts w:ascii="Times New Roman" w:hAnsi="Times New Roman" w:cs="Times New Roman"/>
          <w:b/>
          <w:sz w:val="48"/>
          <w:szCs w:val="48"/>
        </w:rPr>
        <w:t xml:space="preserve">State Finances </w:t>
      </w:r>
      <w:r w:rsidR="00E009FA" w:rsidRPr="00AE6B8D">
        <w:rPr>
          <w:rFonts w:ascii="Times New Roman" w:hAnsi="Times New Roman" w:cs="Times New Roman"/>
          <w:b/>
          <w:sz w:val="48"/>
          <w:szCs w:val="48"/>
        </w:rPr>
        <w:t>of Sikkim</w:t>
      </w:r>
    </w:p>
    <w:p w:rsidR="00333EE1" w:rsidRDefault="00333EE1" w:rsidP="00F7550A">
      <w:pPr>
        <w:autoSpaceDE w:val="0"/>
        <w:autoSpaceDN w:val="0"/>
        <w:adjustRightInd w:val="0"/>
        <w:spacing w:after="0" w:line="360" w:lineRule="auto"/>
        <w:jc w:val="both"/>
        <w:rPr>
          <w:rFonts w:ascii="Times New Roman" w:eastAsia="Times New Roman" w:hAnsi="Times New Roman"/>
          <w:sz w:val="24"/>
          <w:szCs w:val="24"/>
        </w:rPr>
      </w:pPr>
    </w:p>
    <w:p w:rsidR="00D677A8" w:rsidRDefault="00090FCD" w:rsidP="00333EE1">
      <w:pPr>
        <w:autoSpaceDE w:val="0"/>
        <w:autoSpaceDN w:val="0"/>
        <w:adjustRightInd w:val="0"/>
        <w:spacing w:after="0" w:line="360" w:lineRule="auto"/>
        <w:jc w:val="both"/>
        <w:rPr>
          <w:rFonts w:ascii="Times New Roman" w:eastAsia="Times New Roman" w:hAnsi="Times New Roman"/>
          <w:sz w:val="24"/>
          <w:szCs w:val="24"/>
        </w:rPr>
      </w:pPr>
      <w:r w:rsidRPr="00090FCD">
        <w:rPr>
          <w:rFonts w:ascii="Times New Roman" w:eastAsia="Times New Roman" w:hAnsi="Times New Roman"/>
          <w:sz w:val="24"/>
          <w:szCs w:val="24"/>
        </w:rPr>
        <w:t xml:space="preserve">State finances in </w:t>
      </w:r>
      <w:r w:rsidR="00184D57">
        <w:rPr>
          <w:rFonts w:ascii="Times New Roman" w:eastAsia="Times New Roman" w:hAnsi="Times New Roman"/>
          <w:sz w:val="24"/>
          <w:szCs w:val="24"/>
        </w:rPr>
        <w:t xml:space="preserve">Sikkim </w:t>
      </w:r>
      <w:r w:rsidRPr="00090FCD">
        <w:rPr>
          <w:rFonts w:ascii="Times New Roman" w:eastAsia="Times New Roman" w:hAnsi="Times New Roman"/>
          <w:sz w:val="24"/>
          <w:szCs w:val="24"/>
        </w:rPr>
        <w:t>depends considerably on transfers from Union Government</w:t>
      </w:r>
      <w:r w:rsidR="004C746F">
        <w:rPr>
          <w:rFonts w:ascii="Times New Roman" w:eastAsia="Times New Roman" w:hAnsi="Times New Roman"/>
          <w:sz w:val="24"/>
          <w:szCs w:val="24"/>
        </w:rPr>
        <w:t xml:space="preserve">. </w:t>
      </w:r>
      <w:r w:rsidR="00184D57">
        <w:rPr>
          <w:rFonts w:ascii="Times New Roman" w:eastAsia="Times New Roman" w:hAnsi="Times New Roman"/>
          <w:sz w:val="24"/>
          <w:szCs w:val="24"/>
        </w:rPr>
        <w:t>The data for recent years show that this dependency has been declining and this is more pronounced in the fiscal year 2019-20. While</w:t>
      </w:r>
      <w:r w:rsidR="00940C7E">
        <w:rPr>
          <w:rFonts w:ascii="Times New Roman" w:eastAsia="Times New Roman" w:hAnsi="Times New Roman"/>
          <w:sz w:val="24"/>
          <w:szCs w:val="24"/>
        </w:rPr>
        <w:t>,</w:t>
      </w:r>
      <w:r w:rsidR="000C7EF4">
        <w:rPr>
          <w:rFonts w:ascii="Times New Roman" w:eastAsia="Times New Roman" w:hAnsi="Times New Roman"/>
          <w:sz w:val="24"/>
          <w:szCs w:val="24"/>
        </w:rPr>
        <w:t xml:space="preserve"> c</w:t>
      </w:r>
      <w:r w:rsidR="00184D57">
        <w:rPr>
          <w:rFonts w:ascii="Times New Roman" w:eastAsia="Times New Roman" w:hAnsi="Times New Roman"/>
          <w:sz w:val="24"/>
          <w:szCs w:val="24"/>
        </w:rPr>
        <w:t xml:space="preserve">onstitutional provision relating to </w:t>
      </w:r>
      <w:r w:rsidRPr="00090FCD">
        <w:rPr>
          <w:rFonts w:ascii="Times New Roman" w:eastAsia="Times New Roman" w:hAnsi="Times New Roman"/>
          <w:sz w:val="24"/>
          <w:szCs w:val="24"/>
        </w:rPr>
        <w:t>division of financial sources and functions</w:t>
      </w:r>
      <w:r w:rsidR="00184D57">
        <w:rPr>
          <w:rFonts w:ascii="Times New Roman" w:eastAsia="Times New Roman" w:hAnsi="Times New Roman"/>
          <w:sz w:val="24"/>
          <w:szCs w:val="24"/>
        </w:rPr>
        <w:t xml:space="preserve"> between central and state governments traditionally necessitated transfers to the states, the </w:t>
      </w:r>
      <w:r w:rsidRPr="00090FCD">
        <w:rPr>
          <w:rFonts w:ascii="Times New Roman" w:eastAsia="Times New Roman" w:hAnsi="Times New Roman"/>
          <w:sz w:val="24"/>
          <w:szCs w:val="24"/>
        </w:rPr>
        <w:t xml:space="preserve">changing dynamics of transfer system </w:t>
      </w:r>
      <w:r w:rsidR="00184D57">
        <w:rPr>
          <w:rFonts w:ascii="Times New Roman" w:eastAsia="Times New Roman" w:hAnsi="Times New Roman"/>
          <w:sz w:val="24"/>
          <w:szCs w:val="24"/>
        </w:rPr>
        <w:t xml:space="preserve">has </w:t>
      </w:r>
      <w:r w:rsidR="00D677A8">
        <w:rPr>
          <w:rFonts w:ascii="Times New Roman" w:eastAsia="Times New Roman" w:hAnsi="Times New Roman"/>
          <w:sz w:val="24"/>
          <w:szCs w:val="24"/>
        </w:rPr>
        <w:t>e</w:t>
      </w:r>
      <w:r w:rsidR="00184D57">
        <w:rPr>
          <w:rFonts w:ascii="Times New Roman" w:eastAsia="Times New Roman" w:hAnsi="Times New Roman"/>
          <w:sz w:val="24"/>
          <w:szCs w:val="24"/>
        </w:rPr>
        <w:t xml:space="preserve">merged as the most influencing factor in recent years. </w:t>
      </w:r>
      <w:r w:rsidR="00D677A8">
        <w:rPr>
          <w:rFonts w:ascii="Times New Roman" w:eastAsia="Times New Roman" w:hAnsi="Times New Roman"/>
          <w:sz w:val="24"/>
          <w:szCs w:val="24"/>
        </w:rPr>
        <w:t xml:space="preserve">As the own revenue base for the state has not changed noticeably, less than expected transfers from the central government has created challenges for fiscal management. The </w:t>
      </w:r>
      <w:r w:rsidR="00020753" w:rsidRPr="00020753">
        <w:rPr>
          <w:rFonts w:ascii="Times New Roman" w:eastAsia="Times New Roman" w:hAnsi="Times New Roman"/>
          <w:sz w:val="24"/>
          <w:szCs w:val="24"/>
        </w:rPr>
        <w:t xml:space="preserve">distortions created by Covid-19 pandemic </w:t>
      </w:r>
      <w:r w:rsidR="00D677A8">
        <w:rPr>
          <w:rFonts w:ascii="Times New Roman" w:eastAsia="Times New Roman" w:hAnsi="Times New Roman"/>
          <w:sz w:val="24"/>
          <w:szCs w:val="24"/>
        </w:rPr>
        <w:t xml:space="preserve">became more pronounced </w:t>
      </w:r>
      <w:r w:rsidR="00020753" w:rsidRPr="00020753">
        <w:rPr>
          <w:rFonts w:ascii="Times New Roman" w:eastAsia="Times New Roman" w:hAnsi="Times New Roman"/>
          <w:sz w:val="24"/>
          <w:szCs w:val="24"/>
        </w:rPr>
        <w:t>both</w:t>
      </w:r>
      <w:r w:rsidR="00D677A8">
        <w:rPr>
          <w:rFonts w:ascii="Times New Roman" w:eastAsia="Times New Roman" w:hAnsi="Times New Roman"/>
          <w:sz w:val="24"/>
          <w:szCs w:val="24"/>
        </w:rPr>
        <w:t xml:space="preserve"> in</w:t>
      </w:r>
      <w:r w:rsidR="00020753" w:rsidRPr="00020753">
        <w:rPr>
          <w:rFonts w:ascii="Times New Roman" w:eastAsia="Times New Roman" w:hAnsi="Times New Roman"/>
          <w:sz w:val="24"/>
          <w:szCs w:val="24"/>
        </w:rPr>
        <w:t xml:space="preserve"> flow of central transfers and own revenues, </w:t>
      </w:r>
      <w:r w:rsidR="00D677A8">
        <w:rPr>
          <w:rFonts w:ascii="Times New Roman" w:eastAsia="Times New Roman" w:hAnsi="Times New Roman"/>
          <w:sz w:val="24"/>
          <w:szCs w:val="24"/>
        </w:rPr>
        <w:t xml:space="preserve">which necessitates a relook at </w:t>
      </w:r>
      <w:r w:rsidR="00020753" w:rsidRPr="00020753">
        <w:rPr>
          <w:rFonts w:ascii="Times New Roman" w:eastAsia="Times New Roman" w:hAnsi="Times New Roman"/>
          <w:sz w:val="24"/>
          <w:szCs w:val="24"/>
        </w:rPr>
        <w:t>public financial management</w:t>
      </w:r>
      <w:r w:rsidR="00D677A8">
        <w:rPr>
          <w:rFonts w:ascii="Times New Roman" w:eastAsia="Times New Roman" w:hAnsi="Times New Roman"/>
          <w:sz w:val="24"/>
          <w:szCs w:val="24"/>
        </w:rPr>
        <w:t xml:space="preserve"> at the state level to avoid fiscal stress and come back to fiscal consolidation path. </w:t>
      </w:r>
    </w:p>
    <w:p w:rsidR="00020753" w:rsidRDefault="00020753" w:rsidP="00F7550A">
      <w:pPr>
        <w:autoSpaceDE w:val="0"/>
        <w:autoSpaceDN w:val="0"/>
        <w:adjustRightInd w:val="0"/>
        <w:spacing w:after="0" w:line="360" w:lineRule="auto"/>
        <w:jc w:val="both"/>
        <w:rPr>
          <w:rFonts w:ascii="Times New Roman" w:eastAsia="Times New Roman" w:hAnsi="Times New Roman"/>
          <w:sz w:val="24"/>
          <w:szCs w:val="24"/>
        </w:rPr>
      </w:pPr>
    </w:p>
    <w:p w:rsidR="005D06E8" w:rsidRDefault="005D06E8" w:rsidP="00F7550A">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fiscal year 2019-20 </w:t>
      </w:r>
      <w:r w:rsidR="00FB5688">
        <w:rPr>
          <w:rFonts w:ascii="Times New Roman" w:eastAsia="Times New Roman" w:hAnsi="Times New Roman"/>
          <w:sz w:val="24"/>
          <w:szCs w:val="24"/>
        </w:rPr>
        <w:t>was</w:t>
      </w:r>
      <w:r>
        <w:rPr>
          <w:rFonts w:ascii="Times New Roman" w:eastAsia="Times New Roman" w:hAnsi="Times New Roman"/>
          <w:sz w:val="24"/>
          <w:szCs w:val="24"/>
        </w:rPr>
        <w:t xml:space="preserve"> the last year of the award period of FC-XIV. </w:t>
      </w:r>
      <w:r w:rsidR="007A1B08">
        <w:rPr>
          <w:rFonts w:ascii="Times New Roman" w:eastAsia="Times New Roman" w:hAnsi="Times New Roman"/>
          <w:sz w:val="24"/>
          <w:szCs w:val="24"/>
        </w:rPr>
        <w:t xml:space="preserve">After the </w:t>
      </w:r>
      <w:r w:rsidR="007A1B08" w:rsidRPr="00F7550A">
        <w:rPr>
          <w:rFonts w:ascii="Times New Roman" w:eastAsia="Times New Roman" w:hAnsi="Times New Roman"/>
          <w:sz w:val="24"/>
          <w:szCs w:val="24"/>
        </w:rPr>
        <w:t xml:space="preserve">recommendations of the </w:t>
      </w:r>
      <w:r w:rsidR="007A1B08">
        <w:rPr>
          <w:rFonts w:ascii="Times New Roman" w:eastAsia="Times New Roman" w:hAnsi="Times New Roman"/>
          <w:sz w:val="24"/>
          <w:szCs w:val="24"/>
        </w:rPr>
        <w:t>FC-XIV, t</w:t>
      </w:r>
      <w:r w:rsidR="007A1B08" w:rsidRPr="00F7550A">
        <w:rPr>
          <w:rFonts w:ascii="Times New Roman" w:eastAsia="Times New Roman" w:hAnsi="Times New Roman"/>
          <w:sz w:val="24"/>
          <w:szCs w:val="24"/>
        </w:rPr>
        <w:t>he fiscal transfer system in India went through significant changes in the fiscal year 2015-16</w:t>
      </w:r>
      <w:r w:rsidR="007A1B08">
        <w:rPr>
          <w:rFonts w:ascii="Times New Roman" w:eastAsia="Times New Roman" w:hAnsi="Times New Roman"/>
          <w:sz w:val="24"/>
          <w:szCs w:val="24"/>
        </w:rPr>
        <w:t xml:space="preserve">. The changes in </w:t>
      </w:r>
      <w:r w:rsidR="007A1B08" w:rsidRPr="00F7550A">
        <w:rPr>
          <w:rFonts w:ascii="Times New Roman" w:eastAsia="Times New Roman" w:hAnsi="Times New Roman"/>
          <w:sz w:val="24"/>
          <w:szCs w:val="24"/>
        </w:rPr>
        <w:t xml:space="preserve">plan transfers by the </w:t>
      </w:r>
      <w:r w:rsidR="007A1B08">
        <w:rPr>
          <w:rFonts w:ascii="Times New Roman" w:eastAsia="Times New Roman" w:hAnsi="Times New Roman"/>
          <w:sz w:val="24"/>
          <w:szCs w:val="24"/>
        </w:rPr>
        <w:t>c</w:t>
      </w:r>
      <w:r w:rsidR="007A1B08" w:rsidRPr="00F7550A">
        <w:rPr>
          <w:rFonts w:ascii="Times New Roman" w:eastAsia="Times New Roman" w:hAnsi="Times New Roman"/>
          <w:sz w:val="24"/>
          <w:szCs w:val="24"/>
        </w:rPr>
        <w:t xml:space="preserve">entral </w:t>
      </w:r>
      <w:r w:rsidR="007A1B08">
        <w:rPr>
          <w:rFonts w:ascii="Times New Roman" w:eastAsia="Times New Roman" w:hAnsi="Times New Roman"/>
          <w:sz w:val="24"/>
          <w:szCs w:val="24"/>
        </w:rPr>
        <w:t>g</w:t>
      </w:r>
      <w:r w:rsidR="007A1B08" w:rsidRPr="00F7550A">
        <w:rPr>
          <w:rFonts w:ascii="Times New Roman" w:eastAsia="Times New Roman" w:hAnsi="Times New Roman"/>
          <w:sz w:val="24"/>
          <w:szCs w:val="24"/>
        </w:rPr>
        <w:t>overnment</w:t>
      </w:r>
      <w:r w:rsidR="007A1B08">
        <w:rPr>
          <w:rFonts w:ascii="Times New Roman" w:eastAsia="Times New Roman" w:hAnsi="Times New Roman"/>
          <w:sz w:val="24"/>
          <w:szCs w:val="24"/>
        </w:rPr>
        <w:t xml:space="preserve"> also contributed to this. </w:t>
      </w:r>
      <w:r w:rsidR="007A1B08" w:rsidRPr="00F7550A">
        <w:rPr>
          <w:rFonts w:ascii="Times New Roman" w:eastAsia="Times New Roman" w:hAnsi="Times New Roman"/>
          <w:sz w:val="24"/>
          <w:szCs w:val="24"/>
        </w:rPr>
        <w:t>The</w:t>
      </w:r>
      <w:r w:rsidR="007A1B08">
        <w:rPr>
          <w:rFonts w:ascii="Times New Roman" w:eastAsia="Times New Roman" w:hAnsi="Times New Roman"/>
          <w:sz w:val="24"/>
          <w:szCs w:val="24"/>
        </w:rPr>
        <w:t xml:space="preserve"> composition of central transfers has changed</w:t>
      </w:r>
      <w:r w:rsidR="007A1B08" w:rsidRPr="00162BA2">
        <w:rPr>
          <w:rFonts w:ascii="Times New Roman" w:eastAsia="Times New Roman" w:hAnsi="Times New Roman"/>
          <w:sz w:val="24"/>
          <w:szCs w:val="24"/>
        </w:rPr>
        <w:t xml:space="preserve"> </w:t>
      </w:r>
      <w:r w:rsidR="007A1B08">
        <w:rPr>
          <w:rFonts w:ascii="Times New Roman" w:eastAsia="Times New Roman" w:hAnsi="Times New Roman"/>
          <w:sz w:val="24"/>
          <w:szCs w:val="24"/>
        </w:rPr>
        <w:t xml:space="preserve">noticeably. </w:t>
      </w:r>
      <w:r w:rsidR="00FB5688" w:rsidRPr="00FB5688">
        <w:rPr>
          <w:rFonts w:ascii="Times New Roman" w:eastAsia="Times New Roman" w:hAnsi="Times New Roman"/>
          <w:sz w:val="24"/>
          <w:szCs w:val="24"/>
        </w:rPr>
        <w:t xml:space="preserve">Sikkim </w:t>
      </w:r>
      <w:r w:rsidR="007A1B08">
        <w:rPr>
          <w:rFonts w:ascii="Times New Roman" w:eastAsia="Times New Roman" w:hAnsi="Times New Roman"/>
          <w:sz w:val="24"/>
          <w:szCs w:val="24"/>
        </w:rPr>
        <w:t xml:space="preserve">faced </w:t>
      </w:r>
      <w:r w:rsidR="00FB5688" w:rsidRPr="00FB5688">
        <w:rPr>
          <w:rFonts w:ascii="Times New Roman" w:eastAsia="Times New Roman" w:hAnsi="Times New Roman"/>
          <w:sz w:val="24"/>
          <w:szCs w:val="24"/>
        </w:rPr>
        <w:t xml:space="preserve">challenges in fiscal management </w:t>
      </w:r>
      <w:r w:rsidR="007A1B08">
        <w:rPr>
          <w:rFonts w:ascii="Times New Roman" w:eastAsia="Times New Roman" w:hAnsi="Times New Roman"/>
          <w:sz w:val="24"/>
          <w:szCs w:val="24"/>
        </w:rPr>
        <w:t>following the recommendations made by the Commission as o</w:t>
      </w:r>
      <w:r w:rsidR="00FB5688" w:rsidRPr="00FB5688">
        <w:rPr>
          <w:rFonts w:ascii="Times New Roman" w:eastAsia="Times New Roman" w:hAnsi="Times New Roman"/>
          <w:sz w:val="24"/>
          <w:szCs w:val="24"/>
        </w:rPr>
        <w:t>verall impact of changes in transfer system was not favorable to the state.</w:t>
      </w:r>
    </w:p>
    <w:p w:rsidR="00F7550A" w:rsidRPr="007A1B08" w:rsidRDefault="00F7550A" w:rsidP="007A1B08">
      <w:pPr>
        <w:pStyle w:val="ListParagraph"/>
        <w:numPr>
          <w:ilvl w:val="0"/>
          <w:numId w:val="16"/>
        </w:numPr>
        <w:autoSpaceDE w:val="0"/>
        <w:autoSpaceDN w:val="0"/>
        <w:adjustRightInd w:val="0"/>
        <w:spacing w:after="0" w:line="360" w:lineRule="auto"/>
        <w:jc w:val="both"/>
        <w:rPr>
          <w:rFonts w:ascii="Times New Roman" w:eastAsia="Times New Roman" w:hAnsi="Times New Roman"/>
          <w:sz w:val="24"/>
          <w:szCs w:val="24"/>
        </w:rPr>
      </w:pPr>
      <w:r w:rsidRPr="007A1B08">
        <w:rPr>
          <w:rFonts w:ascii="Times New Roman" w:eastAsia="Times New Roman" w:hAnsi="Times New Roman"/>
          <w:sz w:val="24"/>
          <w:szCs w:val="24"/>
        </w:rPr>
        <w:t xml:space="preserve">The </w:t>
      </w:r>
      <w:r w:rsidR="00020753" w:rsidRPr="007A1B08">
        <w:rPr>
          <w:rFonts w:ascii="Times New Roman" w:eastAsia="Times New Roman" w:hAnsi="Times New Roman"/>
          <w:sz w:val="24"/>
          <w:szCs w:val="24"/>
        </w:rPr>
        <w:t>FC-XIV</w:t>
      </w:r>
      <w:r w:rsidRPr="007A1B08">
        <w:rPr>
          <w:rFonts w:ascii="Times New Roman" w:eastAsia="Times New Roman" w:hAnsi="Times New Roman"/>
          <w:sz w:val="24"/>
          <w:szCs w:val="24"/>
        </w:rPr>
        <w:t xml:space="preserve"> recommended increasing the tax devolution to a high of 42 percent of all the </w:t>
      </w:r>
      <w:r w:rsidR="00BD6014" w:rsidRPr="007A1B08">
        <w:rPr>
          <w:rFonts w:ascii="Times New Roman" w:eastAsia="Times New Roman" w:hAnsi="Times New Roman"/>
          <w:sz w:val="24"/>
          <w:szCs w:val="24"/>
        </w:rPr>
        <w:t>c</w:t>
      </w:r>
      <w:r w:rsidRPr="007A1B08">
        <w:rPr>
          <w:rFonts w:ascii="Times New Roman" w:eastAsia="Times New Roman" w:hAnsi="Times New Roman"/>
          <w:sz w:val="24"/>
          <w:szCs w:val="24"/>
        </w:rPr>
        <w:t xml:space="preserve">entral taxes and refrained from giving specific-purpose grants. </w:t>
      </w:r>
      <w:r w:rsidR="008950BE">
        <w:rPr>
          <w:rFonts w:ascii="Times New Roman" w:eastAsia="Times New Roman" w:hAnsi="Times New Roman"/>
          <w:sz w:val="24"/>
          <w:szCs w:val="24"/>
        </w:rPr>
        <w:t xml:space="preserve">The Commission recommended </w:t>
      </w:r>
      <w:r w:rsidRPr="007A1B08">
        <w:rPr>
          <w:rFonts w:ascii="Times New Roman" w:eastAsia="Times New Roman" w:hAnsi="Times New Roman"/>
          <w:sz w:val="24"/>
          <w:szCs w:val="24"/>
        </w:rPr>
        <w:t xml:space="preserve">disaster relief grants and grants for local bodies. </w:t>
      </w:r>
      <w:r w:rsidR="008950BE">
        <w:rPr>
          <w:rFonts w:ascii="Times New Roman" w:eastAsia="Times New Roman" w:hAnsi="Times New Roman"/>
          <w:sz w:val="24"/>
          <w:szCs w:val="24"/>
        </w:rPr>
        <w:t xml:space="preserve">Some states received </w:t>
      </w:r>
      <w:r w:rsidRPr="007A1B08">
        <w:rPr>
          <w:rFonts w:ascii="Times New Roman" w:eastAsia="Times New Roman" w:hAnsi="Times New Roman"/>
          <w:sz w:val="24"/>
          <w:szCs w:val="24"/>
        </w:rPr>
        <w:t xml:space="preserve">revenue deficit grant </w:t>
      </w:r>
      <w:r w:rsidR="008950BE">
        <w:rPr>
          <w:rFonts w:ascii="Times New Roman" w:eastAsia="Times New Roman" w:hAnsi="Times New Roman"/>
          <w:sz w:val="24"/>
          <w:szCs w:val="24"/>
        </w:rPr>
        <w:t xml:space="preserve">based on assessment of </w:t>
      </w:r>
      <w:r w:rsidRPr="007A1B08">
        <w:rPr>
          <w:rFonts w:ascii="Times New Roman" w:eastAsia="Times New Roman" w:hAnsi="Times New Roman"/>
          <w:sz w:val="24"/>
          <w:szCs w:val="24"/>
        </w:rPr>
        <w:t>their post-devolution revenue deficits.</w:t>
      </w:r>
    </w:p>
    <w:p w:rsidR="007A1B08" w:rsidRDefault="007A1B08" w:rsidP="007A1B08">
      <w:pPr>
        <w:pStyle w:val="ListParagraph"/>
        <w:numPr>
          <w:ilvl w:val="0"/>
          <w:numId w:val="1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w:t>
      </w:r>
      <w:r w:rsidR="00052E71" w:rsidRPr="007A1B08">
        <w:rPr>
          <w:rFonts w:ascii="Times New Roman" w:eastAsia="Times New Roman" w:hAnsi="Times New Roman"/>
          <w:sz w:val="24"/>
          <w:szCs w:val="24"/>
        </w:rPr>
        <w:t xml:space="preserve">entral </w:t>
      </w:r>
      <w:r w:rsidR="00BD6014" w:rsidRPr="007A1B08">
        <w:rPr>
          <w:rFonts w:ascii="Times New Roman" w:eastAsia="Times New Roman" w:hAnsi="Times New Roman"/>
          <w:sz w:val="24"/>
          <w:szCs w:val="24"/>
        </w:rPr>
        <w:t>g</w:t>
      </w:r>
      <w:r w:rsidR="00052E71" w:rsidRPr="007A1B08">
        <w:rPr>
          <w:rFonts w:ascii="Times New Roman" w:eastAsia="Times New Roman" w:hAnsi="Times New Roman"/>
          <w:sz w:val="24"/>
          <w:szCs w:val="24"/>
        </w:rPr>
        <w:t xml:space="preserve">overnment restructured plan grants to states in 2015-16 </w:t>
      </w:r>
      <w:r w:rsidR="00E441ED" w:rsidRPr="007A1B08">
        <w:rPr>
          <w:rFonts w:ascii="Times New Roman" w:eastAsia="Times New Roman" w:hAnsi="Times New Roman"/>
          <w:sz w:val="24"/>
          <w:szCs w:val="24"/>
        </w:rPr>
        <w:t>expecti</w:t>
      </w:r>
      <w:r w:rsidR="00052E71" w:rsidRPr="007A1B08">
        <w:rPr>
          <w:rFonts w:ascii="Times New Roman" w:eastAsia="Times New Roman" w:hAnsi="Times New Roman"/>
          <w:sz w:val="24"/>
          <w:szCs w:val="24"/>
        </w:rPr>
        <w:t xml:space="preserve">ng </w:t>
      </w:r>
      <w:r w:rsidR="00E441ED" w:rsidRPr="007A1B08">
        <w:rPr>
          <w:rFonts w:ascii="Times New Roman" w:eastAsia="Times New Roman" w:hAnsi="Times New Roman"/>
          <w:sz w:val="24"/>
          <w:szCs w:val="24"/>
        </w:rPr>
        <w:t>reduc</w:t>
      </w:r>
      <w:r w:rsidR="00052E71" w:rsidRPr="007A1B08">
        <w:rPr>
          <w:rFonts w:ascii="Times New Roman" w:eastAsia="Times New Roman" w:hAnsi="Times New Roman"/>
          <w:sz w:val="24"/>
          <w:szCs w:val="24"/>
        </w:rPr>
        <w:t xml:space="preserve">tion in </w:t>
      </w:r>
      <w:r w:rsidR="00F7550A" w:rsidRPr="007A1B08">
        <w:rPr>
          <w:rFonts w:ascii="Times New Roman" w:eastAsia="Times New Roman" w:hAnsi="Times New Roman"/>
          <w:sz w:val="24"/>
          <w:szCs w:val="24"/>
        </w:rPr>
        <w:t xml:space="preserve">net revenues </w:t>
      </w:r>
      <w:r w:rsidR="00052E71" w:rsidRPr="007A1B08">
        <w:rPr>
          <w:rFonts w:ascii="Times New Roman" w:eastAsia="Times New Roman" w:hAnsi="Times New Roman"/>
          <w:sz w:val="24"/>
          <w:szCs w:val="24"/>
        </w:rPr>
        <w:t>available to it.</w:t>
      </w:r>
      <w:r w:rsidR="00F7550A" w:rsidRPr="007A1B08">
        <w:rPr>
          <w:rFonts w:ascii="Times New Roman" w:eastAsia="Times New Roman" w:hAnsi="Times New Roman"/>
          <w:sz w:val="24"/>
          <w:szCs w:val="24"/>
        </w:rPr>
        <w:t xml:space="preserve"> </w:t>
      </w:r>
      <w:r w:rsidR="008950BE">
        <w:rPr>
          <w:rFonts w:ascii="Times New Roman" w:eastAsia="Times New Roman" w:hAnsi="Times New Roman"/>
          <w:sz w:val="24"/>
          <w:szCs w:val="24"/>
        </w:rPr>
        <w:t xml:space="preserve">It </w:t>
      </w:r>
      <w:r w:rsidR="00F7550A" w:rsidRPr="007A1B08">
        <w:rPr>
          <w:rFonts w:ascii="Times New Roman" w:eastAsia="Times New Roman" w:hAnsi="Times New Roman"/>
          <w:sz w:val="24"/>
          <w:szCs w:val="24"/>
        </w:rPr>
        <w:t xml:space="preserve">subsumed Normal Central Assistance (NCA), Special Plan Assistance, </w:t>
      </w:r>
      <w:r w:rsidR="00020753" w:rsidRPr="007A1B08">
        <w:rPr>
          <w:rFonts w:ascii="Times New Roman" w:eastAsia="Times New Roman" w:hAnsi="Times New Roman"/>
          <w:sz w:val="24"/>
          <w:szCs w:val="24"/>
        </w:rPr>
        <w:t>and Special</w:t>
      </w:r>
      <w:r w:rsidR="00F7550A" w:rsidRPr="007A1B08">
        <w:rPr>
          <w:rFonts w:ascii="Times New Roman" w:eastAsia="Times New Roman" w:hAnsi="Times New Roman"/>
          <w:sz w:val="24"/>
          <w:szCs w:val="24"/>
        </w:rPr>
        <w:t xml:space="preserve"> Central Assistance in the </w:t>
      </w:r>
      <w:r w:rsidR="00020753" w:rsidRPr="007A1B08">
        <w:rPr>
          <w:rFonts w:ascii="Times New Roman" w:eastAsia="Times New Roman" w:hAnsi="Times New Roman"/>
          <w:sz w:val="24"/>
          <w:szCs w:val="24"/>
        </w:rPr>
        <w:t>FC-XIV</w:t>
      </w:r>
      <w:r w:rsidR="00F7550A" w:rsidRPr="007A1B08">
        <w:rPr>
          <w:rFonts w:ascii="Times New Roman" w:eastAsia="Times New Roman" w:hAnsi="Times New Roman"/>
          <w:sz w:val="24"/>
          <w:szCs w:val="24"/>
        </w:rPr>
        <w:t xml:space="preserve"> award and delinked eight schemes </w:t>
      </w:r>
      <w:r w:rsidR="00020753" w:rsidRPr="007A1B08">
        <w:rPr>
          <w:rFonts w:ascii="Times New Roman" w:eastAsia="Times New Roman" w:hAnsi="Times New Roman"/>
          <w:sz w:val="24"/>
          <w:szCs w:val="24"/>
        </w:rPr>
        <w:t>like National</w:t>
      </w:r>
      <w:r w:rsidR="00F7550A" w:rsidRPr="007A1B08">
        <w:rPr>
          <w:rFonts w:ascii="Times New Roman" w:eastAsia="Times New Roman" w:hAnsi="Times New Roman"/>
          <w:sz w:val="24"/>
          <w:szCs w:val="24"/>
        </w:rPr>
        <w:t xml:space="preserve"> e-Governance Plan, the Backward Regions Grant Fund (BRGF), the Rashtriya Krishi Vikas Yojana (RKVY) etc. from </w:t>
      </w:r>
      <w:r w:rsidR="00CD7769" w:rsidRPr="007A1B08">
        <w:rPr>
          <w:rFonts w:ascii="Times New Roman" w:eastAsia="Times New Roman" w:hAnsi="Times New Roman"/>
          <w:sz w:val="24"/>
          <w:szCs w:val="24"/>
        </w:rPr>
        <w:t>c</w:t>
      </w:r>
      <w:r w:rsidR="00F7550A" w:rsidRPr="007A1B08">
        <w:rPr>
          <w:rFonts w:ascii="Times New Roman" w:eastAsia="Times New Roman" w:hAnsi="Times New Roman"/>
          <w:sz w:val="24"/>
          <w:szCs w:val="24"/>
        </w:rPr>
        <w:t xml:space="preserve">entral funding. </w:t>
      </w:r>
    </w:p>
    <w:p w:rsidR="00F7550A" w:rsidRPr="007A1B08" w:rsidRDefault="00F7550A" w:rsidP="007A1B08">
      <w:pPr>
        <w:pStyle w:val="ListParagraph"/>
        <w:numPr>
          <w:ilvl w:val="0"/>
          <w:numId w:val="16"/>
        </w:numPr>
        <w:autoSpaceDE w:val="0"/>
        <w:autoSpaceDN w:val="0"/>
        <w:adjustRightInd w:val="0"/>
        <w:spacing w:after="0" w:line="360" w:lineRule="auto"/>
        <w:jc w:val="both"/>
        <w:rPr>
          <w:rFonts w:ascii="Times New Roman" w:eastAsia="Times New Roman" w:hAnsi="Times New Roman"/>
          <w:sz w:val="24"/>
          <w:szCs w:val="24"/>
        </w:rPr>
      </w:pPr>
      <w:r w:rsidRPr="007A1B08">
        <w:rPr>
          <w:rFonts w:ascii="Times New Roman" w:eastAsia="Times New Roman" w:hAnsi="Times New Roman"/>
          <w:sz w:val="24"/>
          <w:szCs w:val="24"/>
        </w:rPr>
        <w:t xml:space="preserve">Thus, the increment in tax devolution signifies a change in composition of </w:t>
      </w:r>
      <w:r w:rsidR="00CD7769" w:rsidRPr="007A1B08">
        <w:rPr>
          <w:rFonts w:ascii="Times New Roman" w:eastAsia="Times New Roman" w:hAnsi="Times New Roman"/>
          <w:sz w:val="24"/>
          <w:szCs w:val="24"/>
        </w:rPr>
        <w:t>c</w:t>
      </w:r>
      <w:r w:rsidRPr="007A1B08">
        <w:rPr>
          <w:rFonts w:ascii="Times New Roman" w:eastAsia="Times New Roman" w:hAnsi="Times New Roman"/>
          <w:sz w:val="24"/>
          <w:szCs w:val="24"/>
        </w:rPr>
        <w:t>entral transfers, as the plan grants to the State budget have been removed leaving mostly the CSS funds. The Central Government also restructured the CSS based on the recommendations of the subgroup of chief ministers in 2016-17.</w:t>
      </w:r>
    </w:p>
    <w:p w:rsidR="00BF04C9" w:rsidRPr="007A1B08" w:rsidRDefault="007A1B08" w:rsidP="007A1B08">
      <w:pPr>
        <w:pStyle w:val="ListParagraph"/>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During the award period of </w:t>
      </w:r>
      <w:r w:rsidR="00BF04C9" w:rsidRPr="007A1B08">
        <w:rPr>
          <w:rFonts w:ascii="Times New Roman" w:eastAsia="Times New Roman" w:hAnsi="Times New Roman"/>
          <w:sz w:val="24"/>
          <w:szCs w:val="24"/>
        </w:rPr>
        <w:t>FC-XIV</w:t>
      </w:r>
      <w:r>
        <w:rPr>
          <w:rFonts w:ascii="Times New Roman" w:eastAsia="Times New Roman" w:hAnsi="Times New Roman"/>
          <w:sz w:val="24"/>
          <w:szCs w:val="24"/>
        </w:rPr>
        <w:t>, while states</w:t>
      </w:r>
      <w:r w:rsidR="00BF04C9" w:rsidRPr="007A1B08">
        <w:rPr>
          <w:rFonts w:ascii="Times New Roman" w:eastAsia="Times New Roman" w:hAnsi="Times New Roman"/>
          <w:sz w:val="24"/>
          <w:szCs w:val="24"/>
        </w:rPr>
        <w:t xml:space="preserve"> continued to adhere to FRBM Act targets, the state finances were affected by moderation in national growth and its adverse impact on flow of central funds. Debt burden has increased continually since 2015-16, led by restructuring of power sector through schemes like UDAY. The RBI Study on State Finances (RBI 2019, State Finances: A </w:t>
      </w:r>
      <w:r w:rsidR="000C7EF4">
        <w:rPr>
          <w:rFonts w:ascii="Times New Roman" w:eastAsia="Times New Roman" w:hAnsi="Times New Roman"/>
          <w:sz w:val="24"/>
          <w:szCs w:val="24"/>
        </w:rPr>
        <w:t>S</w:t>
      </w:r>
      <w:r w:rsidR="00BF04C9" w:rsidRPr="007A1B08">
        <w:rPr>
          <w:rFonts w:ascii="Times New Roman" w:eastAsia="Times New Roman" w:hAnsi="Times New Roman"/>
          <w:sz w:val="24"/>
          <w:szCs w:val="24"/>
        </w:rPr>
        <w:t xml:space="preserve">tudy of </w:t>
      </w:r>
      <w:r w:rsidR="000C7EF4">
        <w:rPr>
          <w:rFonts w:ascii="Times New Roman" w:eastAsia="Times New Roman" w:hAnsi="Times New Roman"/>
          <w:sz w:val="24"/>
          <w:szCs w:val="24"/>
        </w:rPr>
        <w:t>B</w:t>
      </w:r>
      <w:r w:rsidR="00BF04C9" w:rsidRPr="007A1B08">
        <w:rPr>
          <w:rFonts w:ascii="Times New Roman" w:eastAsia="Times New Roman" w:hAnsi="Times New Roman"/>
          <w:sz w:val="24"/>
          <w:szCs w:val="24"/>
        </w:rPr>
        <w:t>udgets) has indicated that there has been a continual decline in state expenditure, mainly capital, which has wider repercussion on development process.</w:t>
      </w:r>
    </w:p>
    <w:p w:rsidR="00F7550A" w:rsidRDefault="007A1B08" w:rsidP="007A1B08">
      <w:pPr>
        <w:pStyle w:val="ListParagraph"/>
        <w:numPr>
          <w:ilvl w:val="0"/>
          <w:numId w:val="16"/>
        </w:num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For Sikkim </w:t>
      </w:r>
      <w:r w:rsidR="00F7550A" w:rsidRPr="007A1B08">
        <w:rPr>
          <w:rFonts w:ascii="Times New Roman" w:eastAsia="Times New Roman" w:hAnsi="Times New Roman"/>
          <w:sz w:val="24"/>
          <w:szCs w:val="24"/>
        </w:rPr>
        <w:t xml:space="preserve">higher tax devolution </w:t>
      </w:r>
      <w:r w:rsidR="00BF04C9" w:rsidRPr="007A1B08">
        <w:rPr>
          <w:rFonts w:ascii="Times New Roman" w:eastAsia="Times New Roman" w:hAnsi="Times New Roman"/>
          <w:sz w:val="24"/>
          <w:szCs w:val="24"/>
        </w:rPr>
        <w:t xml:space="preserve">could not compensate </w:t>
      </w:r>
      <w:r w:rsidR="00F7550A" w:rsidRPr="007A1B08">
        <w:rPr>
          <w:rFonts w:ascii="Times New Roman" w:eastAsia="Times New Roman" w:hAnsi="Times New Roman"/>
          <w:sz w:val="24"/>
          <w:szCs w:val="24"/>
        </w:rPr>
        <w:t>loss of plan grants</w:t>
      </w:r>
      <w:r w:rsidR="00BF04C9" w:rsidRPr="007A1B08">
        <w:rPr>
          <w:rFonts w:ascii="Times New Roman" w:eastAsia="Times New Roman" w:hAnsi="Times New Roman"/>
          <w:sz w:val="24"/>
          <w:szCs w:val="24"/>
        </w:rPr>
        <w:t>, which</w:t>
      </w:r>
      <w:r w:rsidR="00F7550A" w:rsidRPr="007A1B08">
        <w:rPr>
          <w:rFonts w:ascii="Times New Roman" w:eastAsia="Times New Roman" w:hAnsi="Times New Roman"/>
          <w:sz w:val="24"/>
          <w:szCs w:val="24"/>
        </w:rPr>
        <w:t xml:space="preserve"> created difficulties for ongoing projects. </w:t>
      </w:r>
      <w:r w:rsidR="00162BA2" w:rsidRPr="007A1B08">
        <w:rPr>
          <w:rFonts w:ascii="Times New Roman" w:eastAsia="Times New Roman" w:hAnsi="Times New Roman"/>
          <w:sz w:val="24"/>
          <w:szCs w:val="24"/>
        </w:rPr>
        <w:t xml:space="preserve">The increment in tax devolution was aimed at providing larger untied fund to the states and thus flexibility to take policy choices. In the case of Sikkim, the central grants funded large number of projects. </w:t>
      </w:r>
      <w:r w:rsidR="00F7550A" w:rsidRPr="007A1B08">
        <w:rPr>
          <w:rFonts w:ascii="Times New Roman" w:eastAsia="Times New Roman" w:hAnsi="Times New Roman"/>
          <w:sz w:val="24"/>
          <w:szCs w:val="24"/>
        </w:rPr>
        <w:t xml:space="preserve">While the policy choices to fund the existing plan schemes from the untied tax devolution was open, the nature of centrally funded schemes was such that uncertainties started creeping into the project executions. The </w:t>
      </w:r>
      <w:r w:rsidR="00BF04C9" w:rsidRPr="007A1B08">
        <w:rPr>
          <w:rFonts w:ascii="Times New Roman" w:eastAsia="Times New Roman" w:hAnsi="Times New Roman"/>
          <w:sz w:val="24"/>
          <w:szCs w:val="24"/>
        </w:rPr>
        <w:t>FC-XIV</w:t>
      </w:r>
      <w:r w:rsidR="00F7550A" w:rsidRPr="007A1B08">
        <w:rPr>
          <w:rFonts w:ascii="Times New Roman" w:eastAsia="Times New Roman" w:hAnsi="Times New Roman"/>
          <w:sz w:val="24"/>
          <w:szCs w:val="24"/>
        </w:rPr>
        <w:t xml:space="preserve"> transfer was also designed based on a very unrealistic own tax projection for </w:t>
      </w:r>
      <w:r w:rsidR="005550DE" w:rsidRPr="007A1B08">
        <w:rPr>
          <w:rFonts w:ascii="Times New Roman" w:eastAsia="Times New Roman" w:hAnsi="Times New Roman"/>
          <w:sz w:val="24"/>
          <w:szCs w:val="24"/>
        </w:rPr>
        <w:t>Sikkim</w:t>
      </w:r>
      <w:r w:rsidR="00F7550A" w:rsidRPr="007A1B08">
        <w:rPr>
          <w:rFonts w:ascii="Times New Roman" w:eastAsia="Times New Roman" w:hAnsi="Times New Roman"/>
          <w:sz w:val="24"/>
          <w:szCs w:val="24"/>
        </w:rPr>
        <w:t xml:space="preserve">. </w:t>
      </w:r>
    </w:p>
    <w:p w:rsidR="00CF54C1" w:rsidRPr="00CF54C1" w:rsidRDefault="00CF54C1" w:rsidP="00CF54C1">
      <w:pPr>
        <w:pStyle w:val="ListParagraph"/>
        <w:numPr>
          <w:ilvl w:val="0"/>
          <w:numId w:val="16"/>
        </w:numPr>
        <w:autoSpaceDE w:val="0"/>
        <w:autoSpaceDN w:val="0"/>
        <w:adjustRightInd w:val="0"/>
        <w:spacing w:after="0" w:line="360" w:lineRule="auto"/>
        <w:jc w:val="both"/>
        <w:rPr>
          <w:rFonts w:ascii="Times New Roman" w:eastAsia="Times New Roman" w:hAnsi="Times New Roman"/>
          <w:sz w:val="24"/>
          <w:szCs w:val="24"/>
        </w:rPr>
      </w:pPr>
      <w:r w:rsidRPr="00CF54C1">
        <w:rPr>
          <w:rFonts w:ascii="Times New Roman" w:eastAsia="Times New Roman" w:hAnsi="Times New Roman"/>
          <w:sz w:val="24"/>
          <w:szCs w:val="24"/>
        </w:rPr>
        <w:t xml:space="preserve">Central transfers as percentage to GSDP given in Figure 3.1 </w:t>
      </w:r>
      <w:r>
        <w:rPr>
          <w:rFonts w:ascii="Times New Roman" w:eastAsia="Times New Roman" w:hAnsi="Times New Roman"/>
          <w:sz w:val="24"/>
          <w:szCs w:val="24"/>
        </w:rPr>
        <w:t>shows that while there was some improvement in tax devolution, grants declined</w:t>
      </w:r>
      <w:r w:rsidR="008950BE">
        <w:rPr>
          <w:rFonts w:ascii="Times New Roman" w:eastAsia="Times New Roman" w:hAnsi="Times New Roman"/>
          <w:sz w:val="24"/>
          <w:szCs w:val="24"/>
        </w:rPr>
        <w:t xml:space="preserve"> as percentage to GSDP. Overall transfers suffered declined since 2015-16. In 2019-20, the decline has been steep as both tax devolution </w:t>
      </w:r>
      <w:r w:rsidR="00FC3154">
        <w:rPr>
          <w:rFonts w:ascii="Times New Roman" w:eastAsia="Times New Roman" w:hAnsi="Times New Roman"/>
          <w:sz w:val="24"/>
          <w:szCs w:val="24"/>
        </w:rPr>
        <w:t>and grants</w:t>
      </w:r>
      <w:r w:rsidR="008950BE">
        <w:rPr>
          <w:rFonts w:ascii="Times New Roman" w:eastAsia="Times New Roman" w:hAnsi="Times New Roman"/>
          <w:sz w:val="24"/>
          <w:szCs w:val="24"/>
        </w:rPr>
        <w:t xml:space="preserve"> as percentage to GSDP declined considerably as percentage to GSDP.</w:t>
      </w:r>
    </w:p>
    <w:p w:rsidR="00CF54C1" w:rsidRDefault="00CF54C1" w:rsidP="00CF54C1">
      <w:pPr>
        <w:autoSpaceDE w:val="0"/>
        <w:autoSpaceDN w:val="0"/>
        <w:adjustRightInd w:val="0"/>
        <w:spacing w:after="0" w:line="360" w:lineRule="auto"/>
        <w:jc w:val="both"/>
        <w:rPr>
          <w:rFonts w:ascii="Times New Roman" w:eastAsia="Times New Roman" w:hAnsi="Times New Roman"/>
          <w:sz w:val="24"/>
          <w:szCs w:val="24"/>
        </w:rPr>
      </w:pPr>
    </w:p>
    <w:p w:rsidR="00CF54C1" w:rsidRPr="001745E3" w:rsidRDefault="00CF54C1" w:rsidP="00CF54C1">
      <w:pPr>
        <w:autoSpaceDE w:val="0"/>
        <w:autoSpaceDN w:val="0"/>
        <w:adjustRightInd w:val="0"/>
        <w:spacing w:after="0" w:line="240" w:lineRule="auto"/>
        <w:jc w:val="center"/>
        <w:rPr>
          <w:rFonts w:ascii="Times New Roman" w:eastAsia="Times New Roman" w:hAnsi="Times New Roman"/>
          <w:b/>
        </w:rPr>
      </w:pPr>
      <w:r w:rsidRPr="001745E3">
        <w:rPr>
          <w:rFonts w:ascii="Times New Roman" w:eastAsia="Times New Roman" w:hAnsi="Times New Roman"/>
          <w:b/>
        </w:rPr>
        <w:t xml:space="preserve">Figure </w:t>
      </w:r>
      <w:r>
        <w:rPr>
          <w:rFonts w:ascii="Times New Roman" w:eastAsia="Times New Roman" w:hAnsi="Times New Roman"/>
          <w:b/>
        </w:rPr>
        <w:t>3.</w:t>
      </w:r>
      <w:r w:rsidRPr="001745E3">
        <w:rPr>
          <w:rFonts w:ascii="Times New Roman" w:eastAsia="Times New Roman" w:hAnsi="Times New Roman"/>
          <w:b/>
        </w:rPr>
        <w:t>1</w:t>
      </w:r>
    </w:p>
    <w:p w:rsidR="00CF54C1" w:rsidRDefault="00CF54C1" w:rsidP="00CF54C1">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Trend of Central Transfers (% to GSDP)</w:t>
      </w:r>
    </w:p>
    <w:p w:rsidR="00CF54C1" w:rsidRDefault="00CF54C1" w:rsidP="00CF54C1">
      <w:pPr>
        <w:autoSpaceDE w:val="0"/>
        <w:autoSpaceDN w:val="0"/>
        <w:adjustRightInd w:val="0"/>
        <w:spacing w:after="0" w:line="360" w:lineRule="auto"/>
        <w:jc w:val="center"/>
        <w:rPr>
          <w:rFonts w:ascii="Times New Roman" w:eastAsia="Times New Roman" w:hAnsi="Times New Roman"/>
          <w:sz w:val="24"/>
          <w:szCs w:val="24"/>
        </w:rPr>
      </w:pPr>
      <w:r>
        <w:rPr>
          <w:noProof/>
          <w:lang w:val="en-IN" w:eastAsia="en-IN"/>
        </w:rPr>
        <w:drawing>
          <wp:inline distT="0" distB="0" distL="0" distR="0" wp14:anchorId="7D39865F" wp14:editId="71CA18D8">
            <wp:extent cx="4675505" cy="2648297"/>
            <wp:effectExtent l="0" t="0" r="10795" b="0"/>
            <wp:docPr id="9" name="Chart 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54C1" w:rsidRDefault="00CF54C1" w:rsidP="0055137B">
      <w:pPr>
        <w:autoSpaceDE w:val="0"/>
        <w:autoSpaceDN w:val="0"/>
        <w:adjustRightInd w:val="0"/>
        <w:spacing w:after="0" w:line="360" w:lineRule="auto"/>
        <w:jc w:val="both"/>
        <w:rPr>
          <w:rFonts w:ascii="Times New Roman" w:eastAsia="Times New Roman" w:hAnsi="Times New Roman"/>
          <w:sz w:val="24"/>
          <w:szCs w:val="24"/>
        </w:rPr>
      </w:pPr>
    </w:p>
    <w:p w:rsidR="00CF54C1" w:rsidRDefault="00CF54C1" w:rsidP="0055137B">
      <w:pPr>
        <w:autoSpaceDE w:val="0"/>
        <w:autoSpaceDN w:val="0"/>
        <w:adjustRightInd w:val="0"/>
        <w:spacing w:after="0" w:line="360" w:lineRule="auto"/>
        <w:jc w:val="both"/>
        <w:rPr>
          <w:rFonts w:ascii="Times New Roman" w:eastAsia="Times New Roman" w:hAnsi="Times New Roman"/>
          <w:sz w:val="24"/>
          <w:szCs w:val="24"/>
        </w:rPr>
      </w:pPr>
    </w:p>
    <w:p w:rsidR="00BF04C9" w:rsidRDefault="00D72348" w:rsidP="0055137B">
      <w:pPr>
        <w:autoSpaceDE w:val="0"/>
        <w:autoSpaceDN w:val="0"/>
        <w:adjustRightInd w:val="0"/>
        <w:spacing w:after="0" w:line="360" w:lineRule="auto"/>
        <w:jc w:val="both"/>
        <w:rPr>
          <w:rFonts w:ascii="Times New Roman" w:eastAsia="Times New Roman" w:hAnsi="Times New Roman"/>
          <w:sz w:val="24"/>
          <w:szCs w:val="24"/>
        </w:rPr>
      </w:pPr>
      <w:r>
        <w:rPr>
          <w:rFonts w:ascii="Times New Roman" w:hAnsi="Times New Roman"/>
          <w:b/>
          <w:sz w:val="24"/>
          <w:szCs w:val="24"/>
        </w:rPr>
        <w:t xml:space="preserve">3.1 </w:t>
      </w:r>
      <w:r w:rsidR="00BF04C9" w:rsidRPr="005E7F64">
        <w:rPr>
          <w:rFonts w:ascii="Times New Roman" w:hAnsi="Times New Roman"/>
          <w:b/>
          <w:sz w:val="24"/>
          <w:szCs w:val="24"/>
        </w:rPr>
        <w:t xml:space="preserve">Overview of State Finances: </w:t>
      </w:r>
      <w:r w:rsidR="004E5B45">
        <w:rPr>
          <w:rFonts w:ascii="Times New Roman" w:hAnsi="Times New Roman"/>
          <w:b/>
          <w:sz w:val="24"/>
          <w:szCs w:val="24"/>
        </w:rPr>
        <w:t>Challenges in 2019-20</w:t>
      </w:r>
    </w:p>
    <w:p w:rsidR="00BF04C9" w:rsidRDefault="00BF04C9" w:rsidP="0055137B">
      <w:pPr>
        <w:autoSpaceDE w:val="0"/>
        <w:autoSpaceDN w:val="0"/>
        <w:adjustRightInd w:val="0"/>
        <w:spacing w:after="0" w:line="360" w:lineRule="auto"/>
        <w:jc w:val="both"/>
        <w:rPr>
          <w:rFonts w:ascii="Times New Roman" w:eastAsia="Times New Roman" w:hAnsi="Times New Roman"/>
          <w:sz w:val="24"/>
          <w:szCs w:val="24"/>
        </w:rPr>
      </w:pPr>
    </w:p>
    <w:p w:rsidR="002D2D33" w:rsidRDefault="00D64723" w:rsidP="0055137B">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Sikkim</w:t>
      </w:r>
      <w:r w:rsidR="00E438FC">
        <w:rPr>
          <w:rFonts w:ascii="Times New Roman" w:eastAsia="Times New Roman" w:hAnsi="Times New Roman"/>
          <w:sz w:val="24"/>
          <w:szCs w:val="24"/>
        </w:rPr>
        <w:t>’s</w:t>
      </w:r>
      <w:r>
        <w:rPr>
          <w:rFonts w:ascii="Times New Roman" w:eastAsia="Times New Roman" w:hAnsi="Times New Roman"/>
          <w:sz w:val="24"/>
          <w:szCs w:val="24"/>
        </w:rPr>
        <w:t xml:space="preserve"> consistent</w:t>
      </w:r>
      <w:r w:rsidR="00E438FC">
        <w:rPr>
          <w:rFonts w:ascii="Times New Roman" w:eastAsia="Times New Roman" w:hAnsi="Times New Roman"/>
          <w:sz w:val="24"/>
          <w:szCs w:val="24"/>
        </w:rPr>
        <w:t xml:space="preserve"> record of achieving </w:t>
      </w:r>
      <w:r>
        <w:rPr>
          <w:rFonts w:ascii="Times New Roman" w:eastAsia="Times New Roman" w:hAnsi="Times New Roman"/>
          <w:sz w:val="24"/>
          <w:szCs w:val="24"/>
        </w:rPr>
        <w:t xml:space="preserve">revenue surplus and </w:t>
      </w:r>
      <w:r w:rsidR="00532F6D" w:rsidRPr="00532F6D">
        <w:rPr>
          <w:rFonts w:ascii="Times New Roman" w:eastAsia="Times New Roman" w:hAnsi="Times New Roman"/>
          <w:sz w:val="24"/>
          <w:szCs w:val="24"/>
        </w:rPr>
        <w:t>contain</w:t>
      </w:r>
      <w:r w:rsidR="00E438FC">
        <w:rPr>
          <w:rFonts w:ascii="Times New Roman" w:eastAsia="Times New Roman" w:hAnsi="Times New Roman"/>
          <w:sz w:val="24"/>
          <w:szCs w:val="24"/>
        </w:rPr>
        <w:t>ing</w:t>
      </w:r>
      <w:r w:rsidR="00532F6D" w:rsidRPr="00532F6D">
        <w:rPr>
          <w:rFonts w:ascii="Times New Roman" w:eastAsia="Times New Roman" w:hAnsi="Times New Roman"/>
          <w:sz w:val="24"/>
          <w:szCs w:val="24"/>
        </w:rPr>
        <w:t xml:space="preserve"> fiscal deficit within the limits of the FRBM Act</w:t>
      </w:r>
      <w:r w:rsidR="00E438FC">
        <w:rPr>
          <w:rFonts w:ascii="Times New Roman" w:eastAsia="Times New Roman" w:hAnsi="Times New Roman"/>
          <w:sz w:val="24"/>
          <w:szCs w:val="24"/>
        </w:rPr>
        <w:t xml:space="preserve"> was broken in 2019-20</w:t>
      </w:r>
      <w:r w:rsidR="000C7F27">
        <w:rPr>
          <w:rFonts w:ascii="Times New Roman" w:eastAsia="Times New Roman" w:hAnsi="Times New Roman"/>
          <w:sz w:val="24"/>
          <w:szCs w:val="24"/>
        </w:rPr>
        <w:t xml:space="preserve"> (Figure 3.2)</w:t>
      </w:r>
      <w:r w:rsidR="00E438FC">
        <w:rPr>
          <w:rFonts w:ascii="Times New Roman" w:eastAsia="Times New Roman" w:hAnsi="Times New Roman"/>
          <w:sz w:val="24"/>
          <w:szCs w:val="24"/>
        </w:rPr>
        <w:t xml:space="preserve">. The deterioration was sharp as compare to the previous year.  </w:t>
      </w:r>
      <w:r w:rsidR="00B10623">
        <w:rPr>
          <w:rFonts w:ascii="Times New Roman" w:eastAsia="Times New Roman" w:hAnsi="Times New Roman"/>
          <w:sz w:val="24"/>
          <w:szCs w:val="24"/>
        </w:rPr>
        <w:t>In earlier years state man</w:t>
      </w:r>
      <w:r w:rsidR="002D2D33">
        <w:rPr>
          <w:rFonts w:ascii="Times New Roman" w:eastAsia="Times New Roman" w:hAnsi="Times New Roman"/>
          <w:sz w:val="24"/>
          <w:szCs w:val="24"/>
        </w:rPr>
        <w:t xml:space="preserve">aged </w:t>
      </w:r>
      <w:r w:rsidR="00B10623">
        <w:rPr>
          <w:rFonts w:ascii="Times New Roman" w:eastAsia="Times New Roman" w:hAnsi="Times New Roman"/>
          <w:sz w:val="24"/>
          <w:szCs w:val="24"/>
        </w:rPr>
        <w:t xml:space="preserve">to generate </w:t>
      </w:r>
      <w:r w:rsidR="00E438FC">
        <w:rPr>
          <w:rFonts w:ascii="Times New Roman" w:eastAsia="Times New Roman" w:hAnsi="Times New Roman"/>
          <w:sz w:val="24"/>
          <w:szCs w:val="24"/>
        </w:rPr>
        <w:t>r</w:t>
      </w:r>
      <w:r>
        <w:rPr>
          <w:rFonts w:ascii="Times New Roman" w:eastAsia="Times New Roman" w:hAnsi="Times New Roman"/>
          <w:sz w:val="24"/>
          <w:szCs w:val="24"/>
        </w:rPr>
        <w:t>evenue surplus due</w:t>
      </w:r>
      <w:r w:rsidRPr="00D64723">
        <w:rPr>
          <w:rFonts w:ascii="Times New Roman" w:eastAsia="Times New Roman" w:hAnsi="Times New Roman"/>
          <w:sz w:val="24"/>
          <w:szCs w:val="24"/>
        </w:rPr>
        <w:t xml:space="preserve"> </w:t>
      </w:r>
      <w:r w:rsidR="00052E71">
        <w:rPr>
          <w:rFonts w:ascii="Times New Roman" w:eastAsia="Times New Roman" w:hAnsi="Times New Roman"/>
          <w:sz w:val="24"/>
          <w:szCs w:val="24"/>
        </w:rPr>
        <w:t xml:space="preserve">to </w:t>
      </w:r>
      <w:r>
        <w:rPr>
          <w:rFonts w:ascii="Times New Roman" w:eastAsia="Times New Roman" w:hAnsi="Times New Roman"/>
          <w:sz w:val="24"/>
          <w:szCs w:val="24"/>
        </w:rPr>
        <w:t>dominance of central transfers in the aggregate revenue</w:t>
      </w:r>
      <w:r w:rsidR="00B10623">
        <w:rPr>
          <w:rFonts w:ascii="Times New Roman" w:eastAsia="Times New Roman" w:hAnsi="Times New Roman"/>
          <w:sz w:val="24"/>
          <w:szCs w:val="24"/>
        </w:rPr>
        <w:t>. After adoption of FRBM Act, c</w:t>
      </w:r>
      <w:r w:rsidR="00532F6D">
        <w:rPr>
          <w:rFonts w:ascii="Times New Roman" w:eastAsia="Times New Roman" w:hAnsi="Times New Roman"/>
          <w:sz w:val="24"/>
          <w:szCs w:val="24"/>
        </w:rPr>
        <w:t xml:space="preserve">ontainment of fiscal deficit </w:t>
      </w:r>
      <w:r w:rsidR="00E438FC">
        <w:rPr>
          <w:rFonts w:ascii="Times New Roman" w:eastAsia="Times New Roman" w:hAnsi="Times New Roman"/>
          <w:sz w:val="24"/>
          <w:szCs w:val="24"/>
        </w:rPr>
        <w:t xml:space="preserve">was </w:t>
      </w:r>
      <w:r>
        <w:rPr>
          <w:rFonts w:ascii="Times New Roman" w:eastAsia="Times New Roman" w:hAnsi="Times New Roman"/>
          <w:sz w:val="24"/>
          <w:szCs w:val="24"/>
        </w:rPr>
        <w:t>a positive development in fiscal management</w:t>
      </w:r>
      <w:r w:rsidR="00E438FC">
        <w:rPr>
          <w:rFonts w:ascii="Times New Roman" w:eastAsia="Times New Roman" w:hAnsi="Times New Roman"/>
          <w:sz w:val="24"/>
          <w:szCs w:val="24"/>
        </w:rPr>
        <w:t xml:space="preserve">. </w:t>
      </w:r>
      <w:r w:rsidR="00B10623">
        <w:rPr>
          <w:rFonts w:ascii="Times New Roman" w:eastAsia="Times New Roman" w:hAnsi="Times New Roman"/>
          <w:sz w:val="24"/>
          <w:szCs w:val="24"/>
        </w:rPr>
        <w:t xml:space="preserve">Emerging fiscal pressure was visible </w:t>
      </w:r>
      <w:r w:rsidR="002D2D33">
        <w:rPr>
          <w:rFonts w:ascii="Times New Roman" w:eastAsia="Times New Roman" w:hAnsi="Times New Roman"/>
          <w:sz w:val="24"/>
          <w:szCs w:val="24"/>
        </w:rPr>
        <w:t>in 2018-19</w:t>
      </w:r>
      <w:r w:rsidR="00484FC5">
        <w:rPr>
          <w:rFonts w:ascii="Times New Roman" w:eastAsia="Times New Roman" w:hAnsi="Times New Roman"/>
          <w:sz w:val="24"/>
          <w:szCs w:val="24"/>
        </w:rPr>
        <w:t xml:space="preserve"> </w:t>
      </w:r>
      <w:r w:rsidR="00B10623">
        <w:rPr>
          <w:rFonts w:ascii="Times New Roman" w:eastAsia="Times New Roman" w:hAnsi="Times New Roman"/>
          <w:sz w:val="24"/>
          <w:szCs w:val="24"/>
        </w:rPr>
        <w:t xml:space="preserve">as the revenue surplus </w:t>
      </w:r>
      <w:r w:rsidR="002D2D33">
        <w:rPr>
          <w:rFonts w:ascii="Times New Roman" w:eastAsia="Times New Roman" w:hAnsi="Times New Roman"/>
          <w:sz w:val="24"/>
          <w:szCs w:val="24"/>
        </w:rPr>
        <w:t>declined.</w:t>
      </w:r>
      <w:r w:rsidR="00B10623">
        <w:rPr>
          <w:rFonts w:ascii="Times New Roman" w:eastAsia="Times New Roman" w:hAnsi="Times New Roman"/>
          <w:sz w:val="24"/>
          <w:szCs w:val="24"/>
        </w:rPr>
        <w:t xml:space="preserve"> </w:t>
      </w:r>
    </w:p>
    <w:p w:rsidR="002D2D33" w:rsidRDefault="002D2D33" w:rsidP="0055137B">
      <w:pPr>
        <w:autoSpaceDE w:val="0"/>
        <w:autoSpaceDN w:val="0"/>
        <w:adjustRightInd w:val="0"/>
        <w:spacing w:after="0" w:line="360" w:lineRule="auto"/>
        <w:jc w:val="both"/>
        <w:rPr>
          <w:rFonts w:ascii="Times New Roman" w:eastAsia="Times New Roman" w:hAnsi="Times New Roman"/>
          <w:sz w:val="24"/>
          <w:szCs w:val="24"/>
        </w:rPr>
      </w:pPr>
    </w:p>
    <w:p w:rsidR="002C1911" w:rsidRDefault="00E438FC" w:rsidP="0055137B">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2019-20 data shows that state finances deteriorated massively with respect </w:t>
      </w:r>
      <w:r w:rsidR="00B10623">
        <w:rPr>
          <w:rFonts w:ascii="Times New Roman" w:eastAsia="Times New Roman" w:hAnsi="Times New Roman"/>
          <w:sz w:val="24"/>
          <w:szCs w:val="24"/>
        </w:rPr>
        <w:t xml:space="preserve">to </w:t>
      </w:r>
      <w:r>
        <w:rPr>
          <w:rFonts w:ascii="Times New Roman" w:eastAsia="Times New Roman" w:hAnsi="Times New Roman"/>
          <w:sz w:val="24"/>
          <w:szCs w:val="24"/>
        </w:rPr>
        <w:t xml:space="preserve">FRBM Act targets. </w:t>
      </w:r>
      <w:r w:rsidR="00B10623">
        <w:rPr>
          <w:rFonts w:ascii="Times New Roman" w:eastAsia="Times New Roman" w:hAnsi="Times New Roman"/>
          <w:sz w:val="24"/>
          <w:szCs w:val="24"/>
        </w:rPr>
        <w:t xml:space="preserve">Revenue deficit increased to 4.14 percent of GSDP as compared to surplus in earlier years and fiscal deficit of 6.41 percent was much higher than the FRBM targets. </w:t>
      </w:r>
      <w:r w:rsidR="002D2D33">
        <w:rPr>
          <w:rFonts w:ascii="Times New Roman" w:eastAsia="Times New Roman" w:hAnsi="Times New Roman"/>
          <w:sz w:val="24"/>
          <w:szCs w:val="24"/>
        </w:rPr>
        <w:t xml:space="preserve">Revenue deficit constitutes about 64.57 percent of fiscal deficit and rest 35.43 percent was due to capital outlay. </w:t>
      </w:r>
      <w:r>
        <w:rPr>
          <w:rFonts w:ascii="Times New Roman" w:eastAsia="Times New Roman" w:hAnsi="Times New Roman"/>
          <w:sz w:val="24"/>
          <w:szCs w:val="24"/>
        </w:rPr>
        <w:t>Given the impact of Covid-19 pandemic on state finances, this fiscal stress is a worrying factor.</w:t>
      </w:r>
    </w:p>
    <w:p w:rsidR="002C1911" w:rsidRDefault="002C1911" w:rsidP="0055137B">
      <w:pPr>
        <w:autoSpaceDE w:val="0"/>
        <w:autoSpaceDN w:val="0"/>
        <w:adjustRightInd w:val="0"/>
        <w:spacing w:after="0" w:line="360" w:lineRule="auto"/>
        <w:jc w:val="both"/>
        <w:rPr>
          <w:rFonts w:ascii="Times New Roman" w:eastAsia="Times New Roman" w:hAnsi="Times New Roman"/>
          <w:sz w:val="24"/>
          <w:szCs w:val="24"/>
        </w:rPr>
      </w:pPr>
    </w:p>
    <w:p w:rsidR="00856C44" w:rsidRPr="001745E3" w:rsidRDefault="00856C44" w:rsidP="00856C44">
      <w:pPr>
        <w:autoSpaceDE w:val="0"/>
        <w:autoSpaceDN w:val="0"/>
        <w:adjustRightInd w:val="0"/>
        <w:spacing w:after="0" w:line="240" w:lineRule="auto"/>
        <w:jc w:val="center"/>
        <w:rPr>
          <w:rFonts w:ascii="Times New Roman" w:eastAsia="Times New Roman" w:hAnsi="Times New Roman"/>
          <w:b/>
        </w:rPr>
      </w:pPr>
      <w:r w:rsidRPr="001745E3">
        <w:rPr>
          <w:rFonts w:ascii="Times New Roman" w:eastAsia="Times New Roman" w:hAnsi="Times New Roman"/>
          <w:b/>
        </w:rPr>
        <w:t xml:space="preserve">Figure </w:t>
      </w:r>
      <w:r w:rsidR="00036211">
        <w:rPr>
          <w:rFonts w:ascii="Times New Roman" w:eastAsia="Times New Roman" w:hAnsi="Times New Roman"/>
          <w:b/>
        </w:rPr>
        <w:t>3.</w:t>
      </w:r>
      <w:r w:rsidR="00813F87">
        <w:rPr>
          <w:rFonts w:ascii="Times New Roman" w:eastAsia="Times New Roman" w:hAnsi="Times New Roman"/>
          <w:b/>
        </w:rPr>
        <w:t>2</w:t>
      </w:r>
    </w:p>
    <w:p w:rsidR="00F7550A" w:rsidRDefault="0002511C" w:rsidP="00856C44">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Key Fiscal Variables (% to GSDP)</w:t>
      </w:r>
    </w:p>
    <w:p w:rsidR="00856C44" w:rsidRPr="007E128F" w:rsidRDefault="004E5B45" w:rsidP="007A624F">
      <w:pPr>
        <w:pBdr>
          <w:bottom w:val="single" w:sz="4" w:space="1" w:color="auto"/>
        </w:pBdr>
        <w:autoSpaceDE w:val="0"/>
        <w:autoSpaceDN w:val="0"/>
        <w:adjustRightInd w:val="0"/>
        <w:spacing w:after="0" w:line="240" w:lineRule="auto"/>
        <w:jc w:val="center"/>
        <w:rPr>
          <w:rFonts w:ascii="Times New Roman" w:eastAsia="Times New Roman" w:hAnsi="Times New Roman"/>
          <w:b/>
        </w:rPr>
      </w:pPr>
      <w:r>
        <w:rPr>
          <w:noProof/>
          <w:lang w:val="en-IN" w:eastAsia="en-IN"/>
        </w:rPr>
        <w:drawing>
          <wp:inline distT="0" distB="0" distL="0" distR="0" wp14:anchorId="7A519FF4" wp14:editId="46B3E888">
            <wp:extent cx="5731510" cy="3486150"/>
            <wp:effectExtent l="0" t="0" r="2540" b="0"/>
            <wp:docPr id="3" name="Chart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41D5" w:rsidRDefault="006941D5" w:rsidP="0002511C">
      <w:pPr>
        <w:autoSpaceDE w:val="0"/>
        <w:autoSpaceDN w:val="0"/>
        <w:adjustRightInd w:val="0"/>
        <w:spacing w:after="0" w:line="360" w:lineRule="auto"/>
        <w:jc w:val="center"/>
        <w:rPr>
          <w:rFonts w:ascii="Times New Roman" w:eastAsia="Times New Roman" w:hAnsi="Times New Roman"/>
          <w:sz w:val="24"/>
          <w:szCs w:val="24"/>
        </w:rPr>
      </w:pPr>
    </w:p>
    <w:p w:rsidR="004E5B45" w:rsidRDefault="004E5B45" w:rsidP="0002511C">
      <w:pPr>
        <w:autoSpaceDE w:val="0"/>
        <w:autoSpaceDN w:val="0"/>
        <w:adjustRightInd w:val="0"/>
        <w:spacing w:after="0" w:line="360" w:lineRule="auto"/>
        <w:jc w:val="center"/>
        <w:rPr>
          <w:rFonts w:ascii="Times New Roman" w:eastAsia="Times New Roman" w:hAnsi="Times New Roman"/>
          <w:sz w:val="24"/>
          <w:szCs w:val="24"/>
        </w:rPr>
      </w:pPr>
    </w:p>
    <w:p w:rsidR="00D049B2" w:rsidRDefault="00AC1F14" w:rsidP="000C7F27">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In 2019-20 state was entitled to increase fiscal deficit by 0.5 percent beyond the FRBM Act targets of 3 percent due to its previous record of fiscal management </w:t>
      </w:r>
      <w:r w:rsidR="000C7F27">
        <w:rPr>
          <w:rFonts w:ascii="Times New Roman" w:eastAsia="Times New Roman" w:hAnsi="Times New Roman"/>
          <w:sz w:val="24"/>
          <w:szCs w:val="24"/>
        </w:rPr>
        <w:t xml:space="preserve">as </w:t>
      </w:r>
      <w:r>
        <w:rPr>
          <w:rFonts w:ascii="Times New Roman" w:eastAsia="Times New Roman" w:hAnsi="Times New Roman"/>
          <w:sz w:val="24"/>
          <w:szCs w:val="24"/>
        </w:rPr>
        <w:t xml:space="preserve">recommended by </w:t>
      </w:r>
      <w:r w:rsidR="000C7F27">
        <w:rPr>
          <w:rFonts w:ascii="Times New Roman" w:eastAsia="Times New Roman" w:hAnsi="Times New Roman"/>
          <w:sz w:val="24"/>
          <w:szCs w:val="24"/>
        </w:rPr>
        <w:t>FC-XIV</w:t>
      </w:r>
      <w:r>
        <w:rPr>
          <w:rFonts w:ascii="Times New Roman" w:eastAsia="Times New Roman" w:hAnsi="Times New Roman"/>
          <w:sz w:val="24"/>
          <w:szCs w:val="24"/>
        </w:rPr>
        <w:t xml:space="preserve">. Fiscal imbalance, however, exceeded enhanced limit due to resource problems and committed spending pressure. </w:t>
      </w:r>
      <w:r w:rsidR="000C7F27">
        <w:rPr>
          <w:rFonts w:ascii="Times New Roman" w:eastAsia="Times New Roman" w:hAnsi="Times New Roman"/>
          <w:sz w:val="24"/>
          <w:szCs w:val="24"/>
        </w:rPr>
        <w:t xml:space="preserve">This indicates limitations on budget management process at state level due to </w:t>
      </w:r>
      <w:r>
        <w:rPr>
          <w:rFonts w:ascii="Times New Roman" w:eastAsia="Times New Roman" w:hAnsi="Times New Roman"/>
          <w:sz w:val="24"/>
          <w:szCs w:val="24"/>
        </w:rPr>
        <w:t>less than expected</w:t>
      </w:r>
      <w:r w:rsidR="000C7F27">
        <w:rPr>
          <w:rFonts w:ascii="Times New Roman" w:eastAsia="Times New Roman" w:hAnsi="Times New Roman"/>
          <w:sz w:val="24"/>
          <w:szCs w:val="24"/>
        </w:rPr>
        <w:t xml:space="preserve"> resource availability</w:t>
      </w:r>
      <w:r>
        <w:rPr>
          <w:rFonts w:ascii="Times New Roman" w:eastAsia="Times New Roman" w:hAnsi="Times New Roman"/>
          <w:sz w:val="24"/>
          <w:szCs w:val="24"/>
        </w:rPr>
        <w:t>.</w:t>
      </w:r>
      <w:r w:rsidR="000C7F27">
        <w:rPr>
          <w:rFonts w:ascii="Times New Roman" w:eastAsia="Times New Roman" w:hAnsi="Times New Roman"/>
          <w:sz w:val="24"/>
          <w:szCs w:val="24"/>
        </w:rPr>
        <w:t xml:space="preserve"> </w:t>
      </w:r>
    </w:p>
    <w:p w:rsidR="00D049B2" w:rsidRDefault="00D049B2" w:rsidP="000C7F27">
      <w:pPr>
        <w:autoSpaceDE w:val="0"/>
        <w:autoSpaceDN w:val="0"/>
        <w:adjustRightInd w:val="0"/>
        <w:spacing w:after="0" w:line="360" w:lineRule="auto"/>
        <w:jc w:val="both"/>
        <w:rPr>
          <w:rFonts w:ascii="Times New Roman" w:eastAsia="Times New Roman" w:hAnsi="Times New Roman"/>
          <w:sz w:val="24"/>
          <w:szCs w:val="24"/>
        </w:rPr>
      </w:pPr>
    </w:p>
    <w:p w:rsidR="000C7F27" w:rsidRDefault="00D049B2" w:rsidP="000C7F27">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Broad fiscal trends as percent to GSDP for 2019-20 show that </w:t>
      </w:r>
      <w:r w:rsidR="000C7F27">
        <w:rPr>
          <w:rFonts w:ascii="Times New Roman" w:eastAsia="Times New Roman" w:hAnsi="Times New Roman"/>
          <w:sz w:val="24"/>
          <w:szCs w:val="24"/>
        </w:rPr>
        <w:t>revenue receipts</w:t>
      </w:r>
      <w:r>
        <w:rPr>
          <w:rFonts w:ascii="Times New Roman" w:eastAsia="Times New Roman" w:hAnsi="Times New Roman"/>
          <w:sz w:val="24"/>
          <w:szCs w:val="24"/>
        </w:rPr>
        <w:t xml:space="preserve"> have suffered large decline driven by central transfers (Figure 3.2). </w:t>
      </w:r>
      <w:r w:rsidR="000C7F27">
        <w:rPr>
          <w:rFonts w:ascii="Times New Roman" w:eastAsia="Times New Roman" w:hAnsi="Times New Roman"/>
          <w:sz w:val="24"/>
          <w:szCs w:val="24"/>
        </w:rPr>
        <w:t xml:space="preserve"> </w:t>
      </w:r>
      <w:r>
        <w:rPr>
          <w:rFonts w:ascii="Times New Roman" w:eastAsia="Times New Roman" w:hAnsi="Times New Roman"/>
          <w:sz w:val="24"/>
          <w:szCs w:val="24"/>
        </w:rPr>
        <w:t xml:space="preserve">Own revenue </w:t>
      </w:r>
      <w:r w:rsidR="00B20E27" w:rsidRPr="00135EB9">
        <w:rPr>
          <w:rFonts w:ascii="Times New Roman" w:eastAsia="Times New Roman" w:hAnsi="Times New Roman"/>
          <w:sz w:val="24"/>
          <w:szCs w:val="24"/>
        </w:rPr>
        <w:t>o</w:t>
      </w:r>
      <w:r w:rsidRPr="00135EB9">
        <w:rPr>
          <w:rFonts w:ascii="Times New Roman" w:eastAsia="Times New Roman" w:hAnsi="Times New Roman"/>
          <w:sz w:val="24"/>
          <w:szCs w:val="24"/>
        </w:rPr>
        <w:t>f</w:t>
      </w:r>
      <w:r>
        <w:rPr>
          <w:rFonts w:ascii="Times New Roman" w:eastAsia="Times New Roman" w:hAnsi="Times New Roman"/>
          <w:sz w:val="24"/>
          <w:szCs w:val="24"/>
        </w:rPr>
        <w:t xml:space="preserve"> the state also shows decline in this fiscal year. </w:t>
      </w:r>
      <w:r w:rsidR="002D2D33">
        <w:rPr>
          <w:rFonts w:ascii="Times New Roman" w:eastAsia="Times New Roman" w:hAnsi="Times New Roman"/>
          <w:sz w:val="24"/>
          <w:szCs w:val="24"/>
        </w:rPr>
        <w:t xml:space="preserve">The </w:t>
      </w:r>
      <w:r w:rsidR="00746DEF">
        <w:rPr>
          <w:rFonts w:ascii="Times New Roman" w:eastAsia="Times New Roman" w:hAnsi="Times New Roman"/>
          <w:sz w:val="24"/>
          <w:szCs w:val="24"/>
        </w:rPr>
        <w:t xml:space="preserve">revenue expenditure </w:t>
      </w:r>
      <w:r w:rsidR="002D2D33">
        <w:rPr>
          <w:rFonts w:ascii="Times New Roman" w:eastAsia="Times New Roman" w:hAnsi="Times New Roman"/>
          <w:sz w:val="24"/>
          <w:szCs w:val="24"/>
        </w:rPr>
        <w:t xml:space="preserve">as percent to GSDP </w:t>
      </w:r>
      <w:r w:rsidR="00746DEF">
        <w:rPr>
          <w:rFonts w:ascii="Times New Roman" w:eastAsia="Times New Roman" w:hAnsi="Times New Roman"/>
          <w:sz w:val="24"/>
          <w:szCs w:val="24"/>
        </w:rPr>
        <w:t>has been curtailed</w:t>
      </w:r>
      <w:r w:rsidR="002D2D33">
        <w:rPr>
          <w:rFonts w:ascii="Times New Roman" w:eastAsia="Times New Roman" w:hAnsi="Times New Roman"/>
          <w:sz w:val="24"/>
          <w:szCs w:val="24"/>
        </w:rPr>
        <w:t xml:space="preserve"> rather marginally. It was the </w:t>
      </w:r>
      <w:r w:rsidR="00746DEF">
        <w:rPr>
          <w:rFonts w:ascii="Times New Roman" w:eastAsia="Times New Roman" w:hAnsi="Times New Roman"/>
          <w:sz w:val="24"/>
          <w:szCs w:val="24"/>
        </w:rPr>
        <w:t>capital expenditure</w:t>
      </w:r>
      <w:r w:rsidR="002D2D33">
        <w:rPr>
          <w:rFonts w:ascii="Times New Roman" w:eastAsia="Times New Roman" w:hAnsi="Times New Roman"/>
          <w:sz w:val="24"/>
          <w:szCs w:val="24"/>
        </w:rPr>
        <w:t xml:space="preserve">, which has </w:t>
      </w:r>
      <w:r w:rsidR="00C57D7D">
        <w:rPr>
          <w:rFonts w:ascii="Times New Roman" w:eastAsia="Times New Roman" w:hAnsi="Times New Roman"/>
          <w:sz w:val="24"/>
          <w:szCs w:val="24"/>
        </w:rPr>
        <w:t xml:space="preserve">been </w:t>
      </w:r>
      <w:r w:rsidR="00746DEF">
        <w:rPr>
          <w:rFonts w:ascii="Times New Roman" w:eastAsia="Times New Roman" w:hAnsi="Times New Roman"/>
          <w:sz w:val="24"/>
          <w:szCs w:val="24"/>
        </w:rPr>
        <w:t>reduced drastically. Capital spending continues to be a residual given the committed nature of the revenue expenditure.</w:t>
      </w:r>
    </w:p>
    <w:p w:rsidR="005360CE" w:rsidRDefault="005360CE" w:rsidP="000C7F27">
      <w:pPr>
        <w:autoSpaceDE w:val="0"/>
        <w:autoSpaceDN w:val="0"/>
        <w:adjustRightInd w:val="0"/>
        <w:spacing w:after="0" w:line="360" w:lineRule="auto"/>
        <w:jc w:val="both"/>
        <w:rPr>
          <w:rFonts w:ascii="Times New Roman" w:eastAsia="Times New Roman" w:hAnsi="Times New Roman"/>
          <w:sz w:val="24"/>
          <w:szCs w:val="24"/>
        </w:rPr>
      </w:pPr>
    </w:p>
    <w:p w:rsidR="007A624F" w:rsidRPr="001745E3" w:rsidRDefault="007A624F" w:rsidP="007A624F">
      <w:pPr>
        <w:autoSpaceDE w:val="0"/>
        <w:autoSpaceDN w:val="0"/>
        <w:adjustRightInd w:val="0"/>
        <w:spacing w:after="0" w:line="240" w:lineRule="auto"/>
        <w:jc w:val="center"/>
        <w:rPr>
          <w:rFonts w:ascii="Times New Roman" w:eastAsia="Times New Roman" w:hAnsi="Times New Roman"/>
          <w:b/>
        </w:rPr>
      </w:pPr>
      <w:r w:rsidRPr="001745E3">
        <w:rPr>
          <w:rFonts w:ascii="Times New Roman" w:eastAsia="Times New Roman" w:hAnsi="Times New Roman"/>
          <w:b/>
        </w:rPr>
        <w:t xml:space="preserve">Figure </w:t>
      </w:r>
      <w:r>
        <w:rPr>
          <w:rFonts w:ascii="Times New Roman" w:eastAsia="Times New Roman" w:hAnsi="Times New Roman"/>
          <w:b/>
        </w:rPr>
        <w:t>3.</w:t>
      </w:r>
      <w:r w:rsidR="00AC1F14">
        <w:rPr>
          <w:rFonts w:ascii="Times New Roman" w:eastAsia="Times New Roman" w:hAnsi="Times New Roman"/>
          <w:b/>
        </w:rPr>
        <w:t>3</w:t>
      </w:r>
    </w:p>
    <w:p w:rsidR="007A624F" w:rsidRDefault="007A624F" w:rsidP="007A624F">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 xml:space="preserve">Broad </w:t>
      </w:r>
      <w:r w:rsidRPr="001745E3">
        <w:rPr>
          <w:rFonts w:ascii="Times New Roman" w:eastAsia="Times New Roman" w:hAnsi="Times New Roman"/>
          <w:b/>
        </w:rPr>
        <w:t xml:space="preserve">Fiscal </w:t>
      </w:r>
      <w:r>
        <w:rPr>
          <w:rFonts w:ascii="Times New Roman" w:eastAsia="Times New Roman" w:hAnsi="Times New Roman"/>
          <w:b/>
        </w:rPr>
        <w:t xml:space="preserve">trends </w:t>
      </w:r>
      <w:r w:rsidRPr="001745E3">
        <w:rPr>
          <w:rFonts w:ascii="Times New Roman" w:eastAsia="Times New Roman" w:hAnsi="Times New Roman"/>
          <w:b/>
        </w:rPr>
        <w:t>in Sikkim</w:t>
      </w:r>
    </w:p>
    <w:p w:rsidR="007A624F" w:rsidRDefault="007A624F" w:rsidP="007A624F">
      <w:pPr>
        <w:autoSpaceDE w:val="0"/>
        <w:autoSpaceDN w:val="0"/>
        <w:adjustRightInd w:val="0"/>
        <w:spacing w:after="0" w:line="240" w:lineRule="auto"/>
        <w:jc w:val="center"/>
        <w:rPr>
          <w:rFonts w:ascii="Times New Roman" w:eastAsia="Times New Roman" w:hAnsi="Times New Roman"/>
          <w:b/>
        </w:rPr>
      </w:pPr>
    </w:p>
    <w:p w:rsidR="007A624F" w:rsidRDefault="00AC1F14" w:rsidP="007A624F">
      <w:pPr>
        <w:spacing w:line="360" w:lineRule="auto"/>
        <w:jc w:val="center"/>
        <w:rPr>
          <w:lang w:val="en-IN"/>
        </w:rPr>
      </w:pPr>
      <w:r>
        <w:rPr>
          <w:noProof/>
          <w:lang w:val="en-IN" w:eastAsia="en-IN"/>
        </w:rPr>
        <w:drawing>
          <wp:inline distT="0" distB="0" distL="0" distR="0" wp14:anchorId="0BEEE0E5" wp14:editId="4F286CA6">
            <wp:extent cx="5093335" cy="2414016"/>
            <wp:effectExtent l="0" t="0" r="12065" b="57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1954" w:rsidRDefault="00E11954" w:rsidP="00152E5A">
      <w:pPr>
        <w:autoSpaceDE w:val="0"/>
        <w:autoSpaceDN w:val="0"/>
        <w:adjustRightInd w:val="0"/>
        <w:spacing w:after="0" w:line="360" w:lineRule="auto"/>
        <w:jc w:val="both"/>
        <w:rPr>
          <w:rFonts w:ascii="Times New Roman" w:eastAsia="Times New Roman" w:hAnsi="Times New Roman"/>
          <w:sz w:val="24"/>
          <w:szCs w:val="24"/>
        </w:rPr>
      </w:pPr>
    </w:p>
    <w:p w:rsidR="002C1911" w:rsidRDefault="00A874E5" w:rsidP="00850666">
      <w:pPr>
        <w:autoSpaceDE w:val="0"/>
        <w:autoSpaceDN w:val="0"/>
        <w:adjustRightInd w:val="0"/>
        <w:spacing w:after="0" w:line="360" w:lineRule="auto"/>
        <w:jc w:val="both"/>
        <w:rPr>
          <w:rFonts w:ascii="Times New Roman" w:hAnsi="Times New Roman"/>
          <w:sz w:val="24"/>
          <w:lang w:val="en-IN"/>
        </w:rPr>
      </w:pPr>
      <w:r>
        <w:rPr>
          <w:rFonts w:ascii="Times New Roman" w:hAnsi="Times New Roman"/>
          <w:sz w:val="24"/>
          <w:lang w:val="en-IN"/>
        </w:rPr>
        <w:t xml:space="preserve">The state faced severe </w:t>
      </w:r>
      <w:r w:rsidR="00BA4FAC">
        <w:rPr>
          <w:rFonts w:ascii="Times New Roman" w:hAnsi="Times New Roman"/>
          <w:sz w:val="24"/>
          <w:lang w:val="en-IN"/>
        </w:rPr>
        <w:t>c</w:t>
      </w:r>
      <w:r w:rsidR="005D7CF1">
        <w:rPr>
          <w:rFonts w:ascii="Times New Roman" w:hAnsi="Times New Roman"/>
          <w:sz w:val="24"/>
          <w:lang w:val="en-IN"/>
        </w:rPr>
        <w:t xml:space="preserve">ontraction in fiscal space due to decline in revenue receipts as percentage to GSDP </w:t>
      </w:r>
      <w:r w:rsidR="00980057">
        <w:rPr>
          <w:rFonts w:ascii="Times New Roman" w:hAnsi="Times New Roman"/>
          <w:sz w:val="24"/>
          <w:lang w:val="en-IN"/>
        </w:rPr>
        <w:t xml:space="preserve">as is evident from </w:t>
      </w:r>
      <w:r w:rsidR="007D1870">
        <w:rPr>
          <w:rFonts w:ascii="Times New Roman" w:hAnsi="Times New Roman"/>
          <w:sz w:val="24"/>
          <w:lang w:val="en-IN"/>
        </w:rPr>
        <w:t>fiscal o</w:t>
      </w:r>
      <w:r w:rsidR="007D1870" w:rsidRPr="007D1870">
        <w:rPr>
          <w:rFonts w:ascii="Times New Roman" w:hAnsi="Times New Roman"/>
          <w:sz w:val="24"/>
          <w:lang w:val="en-IN"/>
        </w:rPr>
        <w:t>utcome</w:t>
      </w:r>
      <w:r w:rsidR="00980057">
        <w:rPr>
          <w:rFonts w:ascii="Times New Roman" w:hAnsi="Times New Roman"/>
          <w:sz w:val="24"/>
          <w:lang w:val="en-IN"/>
        </w:rPr>
        <w:t>s</w:t>
      </w:r>
      <w:r w:rsidR="00EB1D7A">
        <w:rPr>
          <w:rFonts w:ascii="Times New Roman" w:hAnsi="Times New Roman"/>
          <w:sz w:val="24"/>
          <w:lang w:val="en-IN"/>
        </w:rPr>
        <w:t xml:space="preserve"> </w:t>
      </w:r>
      <w:r w:rsidR="00EB1D7A" w:rsidRPr="00EB1D7A">
        <w:rPr>
          <w:rFonts w:ascii="Times New Roman" w:hAnsi="Times New Roman"/>
          <w:sz w:val="24"/>
          <w:lang w:val="en-IN"/>
        </w:rPr>
        <w:t>for the year 201</w:t>
      </w:r>
      <w:r>
        <w:rPr>
          <w:rFonts w:ascii="Times New Roman" w:hAnsi="Times New Roman"/>
          <w:sz w:val="24"/>
          <w:lang w:val="en-IN"/>
        </w:rPr>
        <w:t>9</w:t>
      </w:r>
      <w:r w:rsidR="00EB1D7A" w:rsidRPr="00EB1D7A">
        <w:rPr>
          <w:rFonts w:ascii="Times New Roman" w:hAnsi="Times New Roman"/>
          <w:sz w:val="24"/>
          <w:lang w:val="en-IN"/>
        </w:rPr>
        <w:t>-</w:t>
      </w:r>
      <w:r>
        <w:rPr>
          <w:rFonts w:ascii="Times New Roman" w:hAnsi="Times New Roman"/>
          <w:sz w:val="24"/>
          <w:lang w:val="en-IN"/>
        </w:rPr>
        <w:t>20.</w:t>
      </w:r>
      <w:r w:rsidR="00980057">
        <w:rPr>
          <w:rFonts w:ascii="Times New Roman" w:hAnsi="Times New Roman"/>
          <w:sz w:val="24"/>
          <w:lang w:val="en-IN"/>
        </w:rPr>
        <w:t xml:space="preserve"> </w:t>
      </w:r>
      <w:r w:rsidR="005D7CF1">
        <w:rPr>
          <w:rFonts w:ascii="Times New Roman" w:hAnsi="Times New Roman"/>
          <w:sz w:val="24"/>
          <w:lang w:val="en-IN"/>
        </w:rPr>
        <w:t>R</w:t>
      </w:r>
      <w:r w:rsidR="00980057" w:rsidRPr="00980057">
        <w:rPr>
          <w:rFonts w:ascii="Times New Roman" w:hAnsi="Times New Roman"/>
          <w:sz w:val="24"/>
          <w:lang w:val="en-IN"/>
        </w:rPr>
        <w:t xml:space="preserve">evenue surplus </w:t>
      </w:r>
      <w:r w:rsidR="005D7CF1">
        <w:rPr>
          <w:rFonts w:ascii="Times New Roman" w:hAnsi="Times New Roman"/>
          <w:sz w:val="24"/>
          <w:lang w:val="en-IN"/>
        </w:rPr>
        <w:t xml:space="preserve">arises </w:t>
      </w:r>
      <w:r w:rsidR="00980057" w:rsidRPr="00980057">
        <w:rPr>
          <w:rFonts w:ascii="Times New Roman" w:hAnsi="Times New Roman"/>
          <w:sz w:val="24"/>
          <w:lang w:val="en-IN"/>
        </w:rPr>
        <w:t>due to high dependence on central transfers, all of which are usually booked under revenue receipts.  Many of the central grants are tied grants, proceeds from which are utilized for capital expenditure as per the design of the scheme.</w:t>
      </w:r>
      <w:r w:rsidR="000353A7">
        <w:rPr>
          <w:rFonts w:ascii="Times New Roman" w:hAnsi="Times New Roman"/>
          <w:sz w:val="24"/>
          <w:lang w:val="en-IN"/>
        </w:rPr>
        <w:t xml:space="preserve"> R</w:t>
      </w:r>
      <w:r w:rsidR="00980057">
        <w:rPr>
          <w:rFonts w:ascii="Times New Roman" w:hAnsi="Times New Roman"/>
          <w:sz w:val="24"/>
          <w:lang w:val="en-IN"/>
        </w:rPr>
        <w:t xml:space="preserve">eceipt of central grants at the end of the financial year, many a time could not be put to use and adds to the revenue surplus same year. </w:t>
      </w:r>
      <w:r>
        <w:rPr>
          <w:rFonts w:ascii="Times New Roman" w:hAnsi="Times New Roman"/>
          <w:sz w:val="24"/>
          <w:lang w:val="en-IN"/>
        </w:rPr>
        <w:t xml:space="preserve">Decline in central transfers removed the </w:t>
      </w:r>
      <w:r w:rsidR="00F24147">
        <w:rPr>
          <w:rFonts w:ascii="Times New Roman" w:hAnsi="Times New Roman"/>
          <w:sz w:val="24"/>
          <w:lang w:val="en-IN"/>
        </w:rPr>
        <w:t xml:space="preserve">availability </w:t>
      </w:r>
      <w:r w:rsidR="00F35692">
        <w:rPr>
          <w:rFonts w:ascii="Times New Roman" w:hAnsi="Times New Roman"/>
          <w:sz w:val="24"/>
          <w:lang w:val="en-IN"/>
        </w:rPr>
        <w:t xml:space="preserve">of </w:t>
      </w:r>
      <w:r w:rsidR="00F24147">
        <w:rPr>
          <w:rFonts w:ascii="Times New Roman" w:hAnsi="Times New Roman"/>
          <w:sz w:val="24"/>
          <w:lang w:val="en-IN"/>
        </w:rPr>
        <w:t xml:space="preserve">fiscal space </w:t>
      </w:r>
      <w:r>
        <w:rPr>
          <w:rFonts w:ascii="Times New Roman" w:hAnsi="Times New Roman"/>
          <w:sz w:val="24"/>
          <w:lang w:val="en-IN"/>
        </w:rPr>
        <w:t xml:space="preserve">and adversely affected the </w:t>
      </w:r>
      <w:r w:rsidR="00980057">
        <w:rPr>
          <w:rFonts w:ascii="Times New Roman" w:hAnsi="Times New Roman"/>
          <w:sz w:val="24"/>
          <w:lang w:val="en-IN"/>
        </w:rPr>
        <w:t xml:space="preserve">capital outlay. </w:t>
      </w:r>
      <w:r w:rsidR="00BA4FAC">
        <w:rPr>
          <w:rFonts w:ascii="Times New Roman" w:hAnsi="Times New Roman"/>
          <w:sz w:val="24"/>
          <w:lang w:val="en-IN"/>
        </w:rPr>
        <w:t>The decline in capital outlay as percentage to GSDP in 201</w:t>
      </w:r>
      <w:r>
        <w:rPr>
          <w:rFonts w:ascii="Times New Roman" w:hAnsi="Times New Roman"/>
          <w:sz w:val="24"/>
          <w:lang w:val="en-IN"/>
        </w:rPr>
        <w:t>9</w:t>
      </w:r>
      <w:r w:rsidR="00BA4FAC">
        <w:rPr>
          <w:rFonts w:ascii="Times New Roman" w:hAnsi="Times New Roman"/>
          <w:sz w:val="24"/>
          <w:lang w:val="en-IN"/>
        </w:rPr>
        <w:t>-</w:t>
      </w:r>
      <w:r>
        <w:rPr>
          <w:rFonts w:ascii="Times New Roman" w:hAnsi="Times New Roman"/>
          <w:sz w:val="24"/>
          <w:lang w:val="en-IN"/>
        </w:rPr>
        <w:t>20</w:t>
      </w:r>
      <w:r w:rsidR="00BA4FAC">
        <w:rPr>
          <w:rFonts w:ascii="Times New Roman" w:hAnsi="Times New Roman"/>
          <w:sz w:val="24"/>
          <w:lang w:val="en-IN"/>
        </w:rPr>
        <w:t xml:space="preserve"> becomes a </w:t>
      </w:r>
      <w:r w:rsidR="00BA4FAC">
        <w:rPr>
          <w:rFonts w:ascii="Times New Roman" w:hAnsi="Times New Roman"/>
          <w:sz w:val="24"/>
          <w:lang w:val="en-IN"/>
        </w:rPr>
        <w:lastRenderedPageBreak/>
        <w:t xml:space="preserve">worrying factor for future years as debt has gone up. </w:t>
      </w:r>
      <w:r w:rsidR="00F24147">
        <w:rPr>
          <w:rFonts w:ascii="Times New Roman" w:hAnsi="Times New Roman"/>
          <w:sz w:val="24"/>
          <w:lang w:val="en-IN"/>
        </w:rPr>
        <w:t xml:space="preserve">What is more important for the </w:t>
      </w:r>
      <w:r w:rsidR="00E80ABD">
        <w:rPr>
          <w:rFonts w:ascii="Times New Roman" w:hAnsi="Times New Roman"/>
          <w:sz w:val="24"/>
          <w:lang w:val="en-IN"/>
        </w:rPr>
        <w:t>s</w:t>
      </w:r>
      <w:r w:rsidR="00F24147">
        <w:rPr>
          <w:rFonts w:ascii="Times New Roman" w:hAnsi="Times New Roman"/>
          <w:sz w:val="24"/>
          <w:lang w:val="en-IN"/>
        </w:rPr>
        <w:t xml:space="preserve">tate is to improve efficiency to be able to utilize the </w:t>
      </w:r>
      <w:r w:rsidR="00EB1D7A" w:rsidRPr="00EB1D7A">
        <w:rPr>
          <w:rFonts w:ascii="Times New Roman" w:hAnsi="Times New Roman"/>
          <w:sz w:val="24"/>
          <w:lang w:val="en-IN"/>
        </w:rPr>
        <w:t>unspent balances</w:t>
      </w:r>
      <w:r w:rsidR="00F24147">
        <w:rPr>
          <w:rFonts w:ascii="Times New Roman" w:hAnsi="Times New Roman"/>
          <w:sz w:val="24"/>
          <w:lang w:val="en-IN"/>
        </w:rPr>
        <w:t xml:space="preserve">. </w:t>
      </w:r>
    </w:p>
    <w:p w:rsidR="00BA4FAC" w:rsidRDefault="00BA4FAC" w:rsidP="00850666">
      <w:pPr>
        <w:autoSpaceDE w:val="0"/>
        <w:autoSpaceDN w:val="0"/>
        <w:adjustRightInd w:val="0"/>
        <w:spacing w:after="0" w:line="360" w:lineRule="auto"/>
        <w:jc w:val="both"/>
        <w:rPr>
          <w:rFonts w:ascii="Times New Roman" w:hAnsi="Times New Roman"/>
          <w:sz w:val="24"/>
          <w:lang w:val="en-IN"/>
        </w:rPr>
      </w:pPr>
    </w:p>
    <w:p w:rsidR="002C1911" w:rsidRDefault="003570ED" w:rsidP="005360CE">
      <w:pPr>
        <w:autoSpaceDE w:val="0"/>
        <w:autoSpaceDN w:val="0"/>
        <w:adjustRightInd w:val="0"/>
        <w:spacing w:after="0" w:line="360" w:lineRule="auto"/>
        <w:jc w:val="both"/>
        <w:rPr>
          <w:rFonts w:ascii="Times New Roman" w:eastAsia="Times New Roman" w:hAnsi="Times New Roman"/>
          <w:sz w:val="24"/>
          <w:szCs w:val="24"/>
        </w:rPr>
      </w:pPr>
      <w:r>
        <w:rPr>
          <w:rFonts w:ascii="Times New Roman" w:hAnsi="Times New Roman"/>
          <w:b/>
          <w:sz w:val="24"/>
          <w:lang w:val="en-IN"/>
        </w:rPr>
        <w:t xml:space="preserve">3.2 </w:t>
      </w:r>
      <w:r w:rsidR="003E3E1D" w:rsidRPr="003570ED">
        <w:rPr>
          <w:rFonts w:ascii="Times New Roman" w:hAnsi="Times New Roman"/>
          <w:b/>
          <w:sz w:val="24"/>
          <w:lang w:val="en-IN"/>
        </w:rPr>
        <w:t xml:space="preserve">The Revenue </w:t>
      </w:r>
      <w:r w:rsidR="005360CE">
        <w:rPr>
          <w:rFonts w:ascii="Times New Roman" w:hAnsi="Times New Roman"/>
          <w:b/>
          <w:sz w:val="24"/>
          <w:lang w:val="en-IN"/>
        </w:rPr>
        <w:t xml:space="preserve">Receipts </w:t>
      </w:r>
    </w:p>
    <w:p w:rsidR="005360CE" w:rsidRDefault="005360CE" w:rsidP="003A3F73">
      <w:pPr>
        <w:spacing w:after="0" w:line="360" w:lineRule="auto"/>
        <w:jc w:val="both"/>
        <w:rPr>
          <w:rFonts w:ascii="Times New Roman" w:eastAsia="Times New Roman" w:hAnsi="Times New Roman"/>
          <w:sz w:val="24"/>
          <w:szCs w:val="24"/>
        </w:rPr>
      </w:pPr>
    </w:p>
    <w:p w:rsidR="000A48E3" w:rsidRDefault="00CB2ED8" w:rsidP="003A3F73">
      <w:pPr>
        <w:spacing w:after="0" w:line="360" w:lineRule="auto"/>
        <w:jc w:val="both"/>
        <w:rPr>
          <w:rFonts w:ascii="Times New Roman" w:eastAsia="Times New Roman" w:hAnsi="Times New Roman"/>
          <w:sz w:val="24"/>
          <w:szCs w:val="24"/>
        </w:rPr>
      </w:pPr>
      <w:r w:rsidRPr="00CB2ED8">
        <w:rPr>
          <w:rFonts w:ascii="Times New Roman" w:eastAsia="Times New Roman" w:hAnsi="Times New Roman"/>
          <w:sz w:val="24"/>
          <w:szCs w:val="24"/>
        </w:rPr>
        <w:t xml:space="preserve">Sikkim witnessed large fall in revenue receipts relative to the GSDP </w:t>
      </w:r>
      <w:r w:rsidR="00085256">
        <w:rPr>
          <w:rFonts w:ascii="Times New Roman" w:eastAsia="Times New Roman" w:hAnsi="Times New Roman"/>
          <w:sz w:val="24"/>
          <w:szCs w:val="24"/>
        </w:rPr>
        <w:t>in 2019-20 as compared to the previous year. The decline in aggregate revenue receipts was massive at 7.37 percentage points</w:t>
      </w:r>
      <w:r w:rsidR="0039490A">
        <w:rPr>
          <w:rFonts w:ascii="Times New Roman" w:eastAsia="Times New Roman" w:hAnsi="Times New Roman"/>
          <w:sz w:val="24"/>
          <w:szCs w:val="24"/>
        </w:rPr>
        <w:t xml:space="preserve"> (Table 3.1)</w:t>
      </w:r>
      <w:r w:rsidR="00085256">
        <w:rPr>
          <w:rFonts w:ascii="Times New Roman" w:eastAsia="Times New Roman" w:hAnsi="Times New Roman"/>
          <w:sz w:val="24"/>
          <w:szCs w:val="24"/>
        </w:rPr>
        <w:t>. While own tax revenue and non-tax revenue accounted for 0.55 and 0.32 percentage points decline, it was the central transfers, which declined</w:t>
      </w:r>
      <w:r w:rsidR="00B1218E">
        <w:rPr>
          <w:rFonts w:ascii="Times New Roman" w:eastAsia="Times New Roman" w:hAnsi="Times New Roman"/>
          <w:sz w:val="24"/>
          <w:szCs w:val="24"/>
        </w:rPr>
        <w:t xml:space="preserve"> by</w:t>
      </w:r>
      <w:r w:rsidR="00085256">
        <w:rPr>
          <w:rFonts w:ascii="Times New Roman" w:eastAsia="Times New Roman" w:hAnsi="Times New Roman"/>
          <w:sz w:val="24"/>
          <w:szCs w:val="24"/>
        </w:rPr>
        <w:t xml:space="preserve"> 6.50 percentage points. The decline in central transfers was caused by both decline in tax devolution and grants. The deterioration in revenue receipts in 2019-20 exceeded the level </w:t>
      </w:r>
      <w:r w:rsidR="00B1218E">
        <w:rPr>
          <w:rFonts w:ascii="Times New Roman" w:eastAsia="Times New Roman" w:hAnsi="Times New Roman"/>
          <w:sz w:val="24"/>
          <w:szCs w:val="24"/>
        </w:rPr>
        <w:t xml:space="preserve">of </w:t>
      </w:r>
      <w:r w:rsidR="00085256">
        <w:rPr>
          <w:rFonts w:ascii="Times New Roman" w:eastAsia="Times New Roman" w:hAnsi="Times New Roman"/>
          <w:sz w:val="24"/>
          <w:szCs w:val="24"/>
        </w:rPr>
        <w:t xml:space="preserve">decline that was witnessed </w:t>
      </w:r>
      <w:r w:rsidR="00B1218E">
        <w:rPr>
          <w:rFonts w:ascii="Times New Roman" w:eastAsia="Times New Roman" w:hAnsi="Times New Roman"/>
          <w:sz w:val="24"/>
          <w:szCs w:val="24"/>
        </w:rPr>
        <w:t xml:space="preserve">in </w:t>
      </w:r>
      <w:r w:rsidR="00085256">
        <w:rPr>
          <w:rFonts w:ascii="Times New Roman" w:eastAsia="Times New Roman" w:hAnsi="Times New Roman"/>
          <w:sz w:val="24"/>
          <w:szCs w:val="24"/>
        </w:rPr>
        <w:t xml:space="preserve">state revenues </w:t>
      </w:r>
      <w:r w:rsidRPr="00CB2ED8">
        <w:rPr>
          <w:rFonts w:ascii="Times New Roman" w:eastAsia="Times New Roman" w:hAnsi="Times New Roman"/>
          <w:sz w:val="24"/>
          <w:szCs w:val="24"/>
        </w:rPr>
        <w:t xml:space="preserve">after the recommendations of the </w:t>
      </w:r>
      <w:r w:rsidR="00F97677">
        <w:rPr>
          <w:rFonts w:ascii="Times New Roman" w:eastAsia="Times New Roman" w:hAnsi="Times New Roman"/>
          <w:sz w:val="24"/>
          <w:szCs w:val="24"/>
        </w:rPr>
        <w:t>FC-XIV</w:t>
      </w:r>
      <w:r w:rsidRPr="00CB2ED8">
        <w:rPr>
          <w:rFonts w:ascii="Times New Roman" w:eastAsia="Times New Roman" w:hAnsi="Times New Roman"/>
          <w:sz w:val="24"/>
          <w:szCs w:val="24"/>
        </w:rPr>
        <w:t xml:space="preserve"> in 2015-16</w:t>
      </w:r>
      <w:r w:rsidR="006207FB">
        <w:rPr>
          <w:rFonts w:ascii="Times New Roman" w:eastAsia="Times New Roman" w:hAnsi="Times New Roman"/>
          <w:sz w:val="24"/>
          <w:szCs w:val="24"/>
        </w:rPr>
        <w:t xml:space="preserve">. There was </w:t>
      </w:r>
      <w:r w:rsidRPr="00CB2ED8">
        <w:rPr>
          <w:rFonts w:ascii="Times New Roman" w:eastAsia="Times New Roman" w:hAnsi="Times New Roman"/>
          <w:sz w:val="24"/>
          <w:szCs w:val="24"/>
        </w:rPr>
        <w:t>a turnaround in revenue receipts in 2016-17</w:t>
      </w:r>
      <w:r w:rsidR="00085256">
        <w:rPr>
          <w:rFonts w:ascii="Times New Roman" w:eastAsia="Times New Roman" w:hAnsi="Times New Roman"/>
          <w:sz w:val="24"/>
          <w:szCs w:val="24"/>
        </w:rPr>
        <w:t xml:space="preserve"> as percentage of GSDP, which started </w:t>
      </w:r>
      <w:r w:rsidR="00B1218E">
        <w:rPr>
          <w:rFonts w:ascii="Times New Roman" w:eastAsia="Times New Roman" w:hAnsi="Times New Roman"/>
          <w:sz w:val="24"/>
          <w:szCs w:val="24"/>
        </w:rPr>
        <w:t xml:space="preserve">falling </w:t>
      </w:r>
      <w:r w:rsidR="00085256">
        <w:rPr>
          <w:rFonts w:ascii="Times New Roman" w:eastAsia="Times New Roman" w:hAnsi="Times New Roman"/>
          <w:sz w:val="24"/>
          <w:szCs w:val="24"/>
        </w:rPr>
        <w:t>after that.</w:t>
      </w:r>
      <w:r w:rsidR="000A48E3">
        <w:rPr>
          <w:rFonts w:ascii="Times New Roman" w:eastAsia="Times New Roman" w:hAnsi="Times New Roman"/>
          <w:sz w:val="24"/>
          <w:szCs w:val="24"/>
        </w:rPr>
        <w:t xml:space="preserve"> In nominal terms, the state received Rs.</w:t>
      </w:r>
      <w:r w:rsidR="007525E4">
        <w:rPr>
          <w:rFonts w:ascii="Times New Roman" w:eastAsia="Times New Roman" w:hAnsi="Times New Roman"/>
          <w:sz w:val="24"/>
          <w:szCs w:val="24"/>
        </w:rPr>
        <w:t xml:space="preserve"> </w:t>
      </w:r>
      <w:r w:rsidR="000A48E3">
        <w:rPr>
          <w:rFonts w:ascii="Times New Roman" w:eastAsia="Times New Roman" w:hAnsi="Times New Roman"/>
          <w:sz w:val="24"/>
          <w:szCs w:val="24"/>
        </w:rPr>
        <w:t>4841.27 crores in 20</w:t>
      </w:r>
      <w:r w:rsidR="00B76130">
        <w:rPr>
          <w:rFonts w:ascii="Times New Roman" w:eastAsia="Times New Roman" w:hAnsi="Times New Roman"/>
          <w:sz w:val="24"/>
          <w:szCs w:val="24"/>
        </w:rPr>
        <w:t>19-2</w:t>
      </w:r>
      <w:r w:rsidR="000A48E3">
        <w:rPr>
          <w:rFonts w:ascii="Times New Roman" w:eastAsia="Times New Roman" w:hAnsi="Times New Roman"/>
          <w:sz w:val="24"/>
          <w:szCs w:val="24"/>
        </w:rPr>
        <w:t>0 as compa</w:t>
      </w:r>
      <w:r w:rsidR="00B76130">
        <w:rPr>
          <w:rFonts w:ascii="Times New Roman" w:eastAsia="Times New Roman" w:hAnsi="Times New Roman"/>
          <w:sz w:val="24"/>
          <w:szCs w:val="24"/>
        </w:rPr>
        <w:t>red to Rs.5970.40 crores in 201</w:t>
      </w:r>
      <w:r w:rsidR="000A48E3">
        <w:rPr>
          <w:rFonts w:ascii="Times New Roman" w:eastAsia="Times New Roman" w:hAnsi="Times New Roman"/>
          <w:sz w:val="24"/>
          <w:szCs w:val="24"/>
        </w:rPr>
        <w:t>8-19. The sharp reduction in revenue receipts due to decline in central transfers adversely affected fiscal management in 2019-20.</w:t>
      </w:r>
    </w:p>
    <w:p w:rsidR="000A48E3" w:rsidRDefault="000A48E3" w:rsidP="003A3F73">
      <w:pPr>
        <w:spacing w:after="0" w:line="360" w:lineRule="auto"/>
        <w:jc w:val="both"/>
        <w:rPr>
          <w:rFonts w:ascii="Times New Roman" w:eastAsia="Times New Roman" w:hAnsi="Times New Roman"/>
          <w:sz w:val="24"/>
          <w:szCs w:val="24"/>
        </w:rPr>
      </w:pPr>
    </w:p>
    <w:p w:rsidR="00F04B25" w:rsidRPr="00924C92" w:rsidRDefault="00F04B25" w:rsidP="00F04B25">
      <w:pPr>
        <w:autoSpaceDE w:val="0"/>
        <w:autoSpaceDN w:val="0"/>
        <w:adjustRightInd w:val="0"/>
        <w:spacing w:after="0" w:line="240" w:lineRule="auto"/>
        <w:jc w:val="center"/>
        <w:rPr>
          <w:rFonts w:ascii="Times New Roman" w:eastAsia="Times New Roman" w:hAnsi="Times New Roman"/>
          <w:b/>
        </w:rPr>
      </w:pPr>
      <w:r w:rsidRPr="00924C92">
        <w:rPr>
          <w:rFonts w:ascii="Times New Roman" w:eastAsia="Times New Roman" w:hAnsi="Times New Roman"/>
          <w:b/>
        </w:rPr>
        <w:t xml:space="preserve">Table </w:t>
      </w:r>
      <w:r w:rsidR="00B20E27">
        <w:rPr>
          <w:rFonts w:ascii="Times New Roman" w:eastAsia="Times New Roman" w:hAnsi="Times New Roman"/>
          <w:b/>
        </w:rPr>
        <w:t xml:space="preserve">3.1: </w:t>
      </w:r>
      <w:r w:rsidRPr="00924C92">
        <w:rPr>
          <w:rFonts w:ascii="Times New Roman" w:eastAsia="Times New Roman" w:hAnsi="Times New Roman"/>
          <w:b/>
        </w:rPr>
        <w:t>Revenue Receipts in Sikkim</w:t>
      </w:r>
    </w:p>
    <w:p w:rsidR="00F04B25" w:rsidRPr="00B20E27" w:rsidRDefault="00135EB9" w:rsidP="00F04B25">
      <w:pPr>
        <w:autoSpaceDE w:val="0"/>
        <w:autoSpaceDN w:val="0"/>
        <w:adjustRightInd w:val="0"/>
        <w:spacing w:after="0" w:line="240" w:lineRule="auto"/>
        <w:jc w:val="right"/>
        <w:rPr>
          <w:rFonts w:ascii="Times New Roman" w:eastAsia="Times New Roman" w:hAnsi="Times New Roman"/>
          <w:b/>
          <w:i/>
          <w:sz w:val="20"/>
          <w:szCs w:val="20"/>
        </w:rPr>
      </w:pPr>
      <w:r>
        <w:rPr>
          <w:rFonts w:ascii="Times New Roman" w:eastAsia="Times New Roman" w:hAnsi="Times New Roman"/>
          <w:b/>
          <w:i/>
          <w:sz w:val="20"/>
          <w:szCs w:val="20"/>
        </w:rPr>
        <w:t>(</w:t>
      </w:r>
      <w:r w:rsidR="00F04B25" w:rsidRPr="00B20E27">
        <w:rPr>
          <w:rFonts w:ascii="Times New Roman" w:eastAsia="Times New Roman" w:hAnsi="Times New Roman"/>
          <w:b/>
          <w:i/>
          <w:sz w:val="20"/>
          <w:szCs w:val="20"/>
        </w:rPr>
        <w:t>Percent to GSDP</w:t>
      </w:r>
      <w:r>
        <w:rPr>
          <w:rFonts w:ascii="Times New Roman" w:eastAsia="Times New Roman" w:hAnsi="Times New Roman"/>
          <w:b/>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713"/>
        <w:gridCol w:w="716"/>
        <w:gridCol w:w="712"/>
        <w:gridCol w:w="714"/>
        <w:gridCol w:w="714"/>
        <w:gridCol w:w="712"/>
        <w:gridCol w:w="714"/>
        <w:gridCol w:w="710"/>
        <w:gridCol w:w="710"/>
      </w:tblGrid>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Heads</w:t>
            </w:r>
          </w:p>
        </w:tc>
        <w:tc>
          <w:tcPr>
            <w:tcW w:w="395" w:type="pct"/>
            <w:shd w:val="clear" w:color="auto" w:fill="auto"/>
            <w:noWrap/>
            <w:vAlign w:val="center"/>
            <w:hideMark/>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2011-12</w:t>
            </w:r>
          </w:p>
        </w:tc>
        <w:tc>
          <w:tcPr>
            <w:tcW w:w="397" w:type="pct"/>
            <w:shd w:val="clear" w:color="auto" w:fill="auto"/>
            <w:noWrap/>
            <w:vAlign w:val="center"/>
            <w:hideMark/>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2012-13</w:t>
            </w:r>
          </w:p>
        </w:tc>
        <w:tc>
          <w:tcPr>
            <w:tcW w:w="395" w:type="pct"/>
            <w:shd w:val="clear" w:color="auto" w:fill="auto"/>
            <w:noWrap/>
            <w:vAlign w:val="center"/>
            <w:hideMark/>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2013-14</w:t>
            </w:r>
          </w:p>
        </w:tc>
        <w:tc>
          <w:tcPr>
            <w:tcW w:w="396" w:type="pct"/>
            <w:shd w:val="clear" w:color="auto" w:fill="auto"/>
            <w:noWrap/>
            <w:vAlign w:val="center"/>
            <w:hideMark/>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2014-15</w:t>
            </w:r>
          </w:p>
        </w:tc>
        <w:tc>
          <w:tcPr>
            <w:tcW w:w="396" w:type="pct"/>
            <w:shd w:val="clear" w:color="auto" w:fill="auto"/>
            <w:noWrap/>
            <w:vAlign w:val="center"/>
            <w:hideMark/>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2015-16</w:t>
            </w:r>
          </w:p>
        </w:tc>
        <w:tc>
          <w:tcPr>
            <w:tcW w:w="395" w:type="pct"/>
            <w:vAlign w:val="center"/>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2016-17</w:t>
            </w:r>
          </w:p>
        </w:tc>
        <w:tc>
          <w:tcPr>
            <w:tcW w:w="396" w:type="pct"/>
            <w:vAlign w:val="center"/>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2017-18</w:t>
            </w:r>
          </w:p>
        </w:tc>
        <w:tc>
          <w:tcPr>
            <w:tcW w:w="394" w:type="pct"/>
            <w:vAlign w:val="center"/>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2018-19</w:t>
            </w:r>
          </w:p>
        </w:tc>
        <w:tc>
          <w:tcPr>
            <w:tcW w:w="394" w:type="pct"/>
            <w:vAlign w:val="center"/>
          </w:tcPr>
          <w:p w:rsidR="00F04B25" w:rsidRPr="005360CE" w:rsidRDefault="00F04B25" w:rsidP="00085256">
            <w:pPr>
              <w:spacing w:before="40" w:after="0" w:line="240" w:lineRule="auto"/>
              <w:jc w:val="center"/>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2019-20</w:t>
            </w:r>
          </w:p>
        </w:tc>
      </w:tr>
      <w:tr w:rsidR="00F04B25" w:rsidRPr="005360CE" w:rsidTr="00097899">
        <w:trPr>
          <w:trHeight w:val="278"/>
        </w:trPr>
        <w:tc>
          <w:tcPr>
            <w:tcW w:w="1442" w:type="pct"/>
            <w:shd w:val="clear" w:color="auto" w:fill="auto"/>
            <w:noWrap/>
            <w:vAlign w:val="center"/>
          </w:tcPr>
          <w:p w:rsidR="00F04B25" w:rsidRPr="005360CE" w:rsidRDefault="00F04B25" w:rsidP="00085256">
            <w:pPr>
              <w:spacing w:before="40" w:after="0" w:line="240" w:lineRule="auto"/>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Total Revenue</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34.19</w:t>
            </w:r>
          </w:p>
        </w:tc>
        <w:tc>
          <w:tcPr>
            <w:tcW w:w="397"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35.19</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41.66</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28.16</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22.75</w:t>
            </w:r>
          </w:p>
        </w:tc>
        <w:tc>
          <w:tcPr>
            <w:tcW w:w="395" w:type="pct"/>
            <w:shd w:val="clear" w:color="auto" w:fill="auto"/>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24.57</w:t>
            </w:r>
          </w:p>
        </w:tc>
        <w:tc>
          <w:tcPr>
            <w:tcW w:w="396"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23.48</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22.29</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14.91</w:t>
            </w:r>
          </w:p>
        </w:tc>
      </w:tr>
      <w:tr w:rsidR="00F04B25" w:rsidRPr="005360CE" w:rsidTr="00097899">
        <w:trPr>
          <w:trHeight w:val="278"/>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Own Revenues</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6.40</w:t>
            </w:r>
          </w:p>
        </w:tc>
        <w:tc>
          <w:tcPr>
            <w:tcW w:w="397"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7.89</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9.49</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5.86</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5.89</w:t>
            </w:r>
          </w:p>
        </w:tc>
        <w:tc>
          <w:tcPr>
            <w:tcW w:w="395" w:type="pct"/>
            <w:shd w:val="clear" w:color="auto" w:fill="auto"/>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5.89</w:t>
            </w:r>
          </w:p>
        </w:tc>
        <w:tc>
          <w:tcPr>
            <w:tcW w:w="396"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6.05</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5.99</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5.13</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Own Tax Revenues</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3.50</w:t>
            </w:r>
          </w:p>
        </w:tc>
        <w:tc>
          <w:tcPr>
            <w:tcW w:w="397"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4.66</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5.62</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3.63</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3.41</w:t>
            </w:r>
          </w:p>
        </w:tc>
        <w:tc>
          <w:tcPr>
            <w:tcW w:w="395"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3.48</w:t>
            </w:r>
          </w:p>
        </w:tc>
        <w:tc>
          <w:tcPr>
            <w:tcW w:w="396"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3.10</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3.54</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2.99</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Sales Tax</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1.48</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2.43</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3.06</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1.94</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1.96</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1.94</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1.12</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0.70</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0.61</w:t>
            </w:r>
          </w:p>
        </w:tc>
      </w:tr>
      <w:tr w:rsidR="00F04B25" w:rsidRPr="005360CE" w:rsidTr="00097899">
        <w:trPr>
          <w:trHeight w:val="255"/>
        </w:trPr>
        <w:tc>
          <w:tcPr>
            <w:tcW w:w="1442" w:type="pct"/>
            <w:shd w:val="clear" w:color="auto" w:fill="auto"/>
            <w:noWrap/>
            <w:vAlign w:val="center"/>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SGST</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0.00</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0.00</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0.00</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0.00</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0.00</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0.00</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0.77</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1.51</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1.40</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State Excise Duties</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1.15</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1.19</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1.29</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0.90</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0.85</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0.83</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0.68</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0.68</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0.64</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Motor Vehicle Tax</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0.20</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0.18</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0.20</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0.13</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0.13</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0.13</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0.13</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0.12</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0.13</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Stamp Duty and Reg</w:t>
            </w:r>
            <w:r>
              <w:rPr>
                <w:rFonts w:ascii="Times New Roman" w:eastAsia="Times New Roman" w:hAnsi="Times New Roman"/>
                <w:sz w:val="20"/>
                <w:szCs w:val="20"/>
                <w:lang w:val="en-IN" w:eastAsia="en-IN"/>
              </w:rPr>
              <w:t xml:space="preserve">. </w:t>
            </w:r>
            <w:r w:rsidRPr="005360CE">
              <w:rPr>
                <w:rFonts w:ascii="Times New Roman" w:eastAsia="Times New Roman" w:hAnsi="Times New Roman"/>
                <w:sz w:val="20"/>
                <w:szCs w:val="20"/>
                <w:lang w:val="en-IN" w:eastAsia="en-IN"/>
              </w:rPr>
              <w:t>Fees</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0.10</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0.06</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0.07</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0.05</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0.05</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0.07</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0.06</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0.06</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0.04</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Other Taxes</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0.58</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0.81</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0.99</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0.61</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0.41</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0.50</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0.33</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0.46</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0.17</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Own Non-Tax Revenues</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2.91</w:t>
            </w:r>
          </w:p>
        </w:tc>
        <w:tc>
          <w:tcPr>
            <w:tcW w:w="397"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3.23</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3.87</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2.23</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2.48</w:t>
            </w:r>
          </w:p>
        </w:tc>
        <w:tc>
          <w:tcPr>
            <w:tcW w:w="395"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2.41</w:t>
            </w:r>
          </w:p>
        </w:tc>
        <w:tc>
          <w:tcPr>
            <w:tcW w:w="396"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2.95</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2.46</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2.14</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b/>
                <w:bCs/>
                <w:sz w:val="20"/>
                <w:szCs w:val="20"/>
                <w:lang w:val="en-IN" w:eastAsia="en-IN"/>
              </w:rPr>
            </w:pPr>
            <w:r w:rsidRPr="005360CE">
              <w:rPr>
                <w:rFonts w:ascii="Times New Roman" w:eastAsia="Times New Roman" w:hAnsi="Times New Roman"/>
                <w:b/>
                <w:bCs/>
                <w:sz w:val="20"/>
                <w:szCs w:val="20"/>
                <w:lang w:val="en-IN" w:eastAsia="en-IN"/>
              </w:rPr>
              <w:t xml:space="preserve">Central Transfers </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27.79</w:t>
            </w:r>
          </w:p>
        </w:tc>
        <w:tc>
          <w:tcPr>
            <w:tcW w:w="397"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27.30</w:t>
            </w:r>
          </w:p>
        </w:tc>
        <w:tc>
          <w:tcPr>
            <w:tcW w:w="395"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32.18</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22.29</w:t>
            </w:r>
          </w:p>
        </w:tc>
        <w:tc>
          <w:tcPr>
            <w:tcW w:w="396" w:type="pct"/>
            <w:shd w:val="clear" w:color="auto" w:fill="auto"/>
            <w:noWrap/>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16.86</w:t>
            </w:r>
          </w:p>
        </w:tc>
        <w:tc>
          <w:tcPr>
            <w:tcW w:w="395"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18.69</w:t>
            </w:r>
          </w:p>
        </w:tc>
        <w:tc>
          <w:tcPr>
            <w:tcW w:w="396"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17.43</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16.29</w:t>
            </w:r>
          </w:p>
        </w:tc>
        <w:tc>
          <w:tcPr>
            <w:tcW w:w="394" w:type="pct"/>
            <w:vAlign w:val="center"/>
          </w:tcPr>
          <w:p w:rsidR="00F04B25" w:rsidRPr="00DC12D8" w:rsidRDefault="00F04B25" w:rsidP="00085256">
            <w:pPr>
              <w:spacing w:after="0"/>
              <w:jc w:val="center"/>
              <w:rPr>
                <w:rFonts w:ascii="Times New Roman" w:hAnsi="Times New Roman"/>
                <w:b/>
                <w:sz w:val="20"/>
                <w:szCs w:val="20"/>
              </w:rPr>
            </w:pPr>
            <w:r w:rsidRPr="00DC12D8">
              <w:rPr>
                <w:rFonts w:ascii="Times New Roman" w:hAnsi="Times New Roman"/>
                <w:b/>
                <w:sz w:val="20"/>
                <w:szCs w:val="20"/>
              </w:rPr>
              <w:t>9.79</w:t>
            </w:r>
          </w:p>
        </w:tc>
      </w:tr>
      <w:tr w:rsidR="00F04B25" w:rsidRPr="005360CE" w:rsidTr="00097899">
        <w:trPr>
          <w:trHeight w:val="234"/>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Tax Devolution</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7.28</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7.47</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8.16</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5.57</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11.24</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11.03</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11.86</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10.41</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7.07</w:t>
            </w:r>
          </w:p>
        </w:tc>
      </w:tr>
      <w:tr w:rsidR="00F04B25" w:rsidRPr="005360CE" w:rsidTr="00097899">
        <w:trPr>
          <w:trHeight w:val="255"/>
        </w:trPr>
        <w:tc>
          <w:tcPr>
            <w:tcW w:w="1442" w:type="pct"/>
            <w:shd w:val="clear" w:color="auto" w:fill="auto"/>
            <w:noWrap/>
            <w:vAlign w:val="center"/>
            <w:hideMark/>
          </w:tcPr>
          <w:p w:rsidR="00F04B25" w:rsidRPr="005360CE" w:rsidRDefault="00F04B25" w:rsidP="00085256">
            <w:pPr>
              <w:spacing w:before="40" w:after="0" w:line="240" w:lineRule="auto"/>
              <w:rPr>
                <w:rFonts w:ascii="Times New Roman" w:eastAsia="Times New Roman" w:hAnsi="Times New Roman"/>
                <w:sz w:val="20"/>
                <w:szCs w:val="20"/>
                <w:lang w:val="en-IN" w:eastAsia="en-IN"/>
              </w:rPr>
            </w:pPr>
            <w:r w:rsidRPr="005360CE">
              <w:rPr>
                <w:rFonts w:ascii="Times New Roman" w:eastAsia="Times New Roman" w:hAnsi="Times New Roman"/>
                <w:sz w:val="20"/>
                <w:szCs w:val="20"/>
                <w:lang w:val="en-IN" w:eastAsia="en-IN"/>
              </w:rPr>
              <w:t>Grants</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20.51</w:t>
            </w:r>
          </w:p>
        </w:tc>
        <w:tc>
          <w:tcPr>
            <w:tcW w:w="397"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19.82</w:t>
            </w:r>
          </w:p>
        </w:tc>
        <w:tc>
          <w:tcPr>
            <w:tcW w:w="395"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24.02</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16.72</w:t>
            </w:r>
          </w:p>
        </w:tc>
        <w:tc>
          <w:tcPr>
            <w:tcW w:w="396" w:type="pct"/>
            <w:shd w:val="clear" w:color="auto" w:fill="auto"/>
            <w:noWrap/>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5.62</w:t>
            </w:r>
          </w:p>
        </w:tc>
        <w:tc>
          <w:tcPr>
            <w:tcW w:w="395"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7.66</w:t>
            </w:r>
          </w:p>
        </w:tc>
        <w:tc>
          <w:tcPr>
            <w:tcW w:w="396"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5.56</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5.88</w:t>
            </w:r>
          </w:p>
        </w:tc>
        <w:tc>
          <w:tcPr>
            <w:tcW w:w="394" w:type="pct"/>
            <w:vAlign w:val="center"/>
          </w:tcPr>
          <w:p w:rsidR="00F04B25" w:rsidRPr="005360CE" w:rsidRDefault="00F04B25" w:rsidP="00085256">
            <w:pPr>
              <w:spacing w:after="0"/>
              <w:jc w:val="center"/>
              <w:rPr>
                <w:rFonts w:ascii="Times New Roman" w:hAnsi="Times New Roman"/>
                <w:sz w:val="20"/>
                <w:szCs w:val="20"/>
              </w:rPr>
            </w:pPr>
            <w:r w:rsidRPr="005360CE">
              <w:rPr>
                <w:rFonts w:ascii="Times New Roman" w:hAnsi="Times New Roman"/>
                <w:sz w:val="20"/>
                <w:szCs w:val="20"/>
              </w:rPr>
              <w:t>2.72</w:t>
            </w:r>
          </w:p>
        </w:tc>
      </w:tr>
    </w:tbl>
    <w:p w:rsidR="00F04B25" w:rsidRPr="00DC12D8" w:rsidRDefault="00F04B25" w:rsidP="00F04B25">
      <w:pPr>
        <w:spacing w:line="360" w:lineRule="auto"/>
        <w:jc w:val="both"/>
        <w:rPr>
          <w:rFonts w:ascii="Times New Roman" w:eastAsia="Times New Roman" w:hAnsi="Times New Roman"/>
          <w:sz w:val="20"/>
          <w:szCs w:val="20"/>
        </w:rPr>
      </w:pPr>
      <w:r w:rsidRPr="00097899">
        <w:rPr>
          <w:rFonts w:ascii="Times New Roman" w:eastAsia="Times New Roman" w:hAnsi="Times New Roman"/>
          <w:b/>
          <w:sz w:val="20"/>
          <w:szCs w:val="20"/>
        </w:rPr>
        <w:t>Source</w:t>
      </w:r>
      <w:r w:rsidRPr="00DC12D8">
        <w:rPr>
          <w:rFonts w:ascii="Times New Roman" w:eastAsia="Times New Roman" w:hAnsi="Times New Roman"/>
          <w:sz w:val="20"/>
          <w:szCs w:val="20"/>
        </w:rPr>
        <w:t xml:space="preserve"> (Basic Data): Finance Accounts, State Budget 2021-22, and CSO</w:t>
      </w:r>
      <w:r w:rsidR="00097899">
        <w:rPr>
          <w:rFonts w:ascii="Times New Roman" w:eastAsia="Times New Roman" w:hAnsi="Times New Roman"/>
          <w:sz w:val="20"/>
          <w:szCs w:val="20"/>
        </w:rPr>
        <w:t>.</w:t>
      </w:r>
    </w:p>
    <w:p w:rsidR="00BD0792" w:rsidRDefault="002423C7" w:rsidP="003306D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O</w:t>
      </w:r>
      <w:r w:rsidR="003306DF">
        <w:rPr>
          <w:rFonts w:ascii="Times New Roman" w:eastAsia="Times New Roman" w:hAnsi="Times New Roman"/>
          <w:sz w:val="24"/>
          <w:szCs w:val="24"/>
        </w:rPr>
        <w:t xml:space="preserve">wn revenue receipts </w:t>
      </w:r>
      <w:r>
        <w:rPr>
          <w:rFonts w:ascii="Times New Roman" w:eastAsia="Times New Roman" w:hAnsi="Times New Roman"/>
          <w:sz w:val="24"/>
          <w:szCs w:val="24"/>
        </w:rPr>
        <w:t xml:space="preserve">suffered a marginal decline from </w:t>
      </w:r>
      <w:r w:rsidR="00B1218E">
        <w:rPr>
          <w:rFonts w:ascii="Times New Roman" w:eastAsia="Times New Roman" w:hAnsi="Times New Roman"/>
          <w:sz w:val="24"/>
          <w:szCs w:val="24"/>
        </w:rPr>
        <w:t>5.99</w:t>
      </w:r>
      <w:r>
        <w:rPr>
          <w:rFonts w:ascii="Times New Roman" w:eastAsia="Times New Roman" w:hAnsi="Times New Roman"/>
          <w:sz w:val="24"/>
          <w:szCs w:val="24"/>
        </w:rPr>
        <w:t xml:space="preserve"> percent in </w:t>
      </w:r>
      <w:r w:rsidR="001A1994">
        <w:rPr>
          <w:rFonts w:ascii="Times New Roman" w:eastAsia="Times New Roman" w:hAnsi="Times New Roman"/>
          <w:sz w:val="24"/>
          <w:szCs w:val="24"/>
        </w:rPr>
        <w:t>201</w:t>
      </w:r>
      <w:r w:rsidR="00B1218E">
        <w:rPr>
          <w:rFonts w:ascii="Times New Roman" w:eastAsia="Times New Roman" w:hAnsi="Times New Roman"/>
          <w:sz w:val="24"/>
          <w:szCs w:val="24"/>
        </w:rPr>
        <w:t>8</w:t>
      </w:r>
      <w:r w:rsidR="001A1994">
        <w:rPr>
          <w:rFonts w:ascii="Times New Roman" w:eastAsia="Times New Roman" w:hAnsi="Times New Roman"/>
          <w:sz w:val="24"/>
          <w:szCs w:val="24"/>
        </w:rPr>
        <w:t>-1</w:t>
      </w:r>
      <w:r w:rsidR="00B1218E">
        <w:rPr>
          <w:rFonts w:ascii="Times New Roman" w:eastAsia="Times New Roman" w:hAnsi="Times New Roman"/>
          <w:sz w:val="24"/>
          <w:szCs w:val="24"/>
        </w:rPr>
        <w:t>9</w:t>
      </w:r>
      <w:r w:rsidR="001A1994">
        <w:rPr>
          <w:rFonts w:ascii="Times New Roman" w:eastAsia="Times New Roman" w:hAnsi="Times New Roman"/>
          <w:sz w:val="24"/>
          <w:szCs w:val="24"/>
        </w:rPr>
        <w:t xml:space="preserve"> relative to GSDP </w:t>
      </w:r>
      <w:r>
        <w:rPr>
          <w:rFonts w:ascii="Times New Roman" w:eastAsia="Times New Roman" w:hAnsi="Times New Roman"/>
          <w:sz w:val="24"/>
          <w:szCs w:val="24"/>
        </w:rPr>
        <w:t>to 5.</w:t>
      </w:r>
      <w:r w:rsidR="00B1218E">
        <w:rPr>
          <w:rFonts w:ascii="Times New Roman" w:eastAsia="Times New Roman" w:hAnsi="Times New Roman"/>
          <w:sz w:val="24"/>
          <w:szCs w:val="24"/>
        </w:rPr>
        <w:t>13</w:t>
      </w:r>
      <w:r>
        <w:rPr>
          <w:rFonts w:ascii="Times New Roman" w:eastAsia="Times New Roman" w:hAnsi="Times New Roman"/>
          <w:sz w:val="24"/>
          <w:szCs w:val="24"/>
        </w:rPr>
        <w:t xml:space="preserve"> percent in 201</w:t>
      </w:r>
      <w:r w:rsidR="00B1218E">
        <w:rPr>
          <w:rFonts w:ascii="Times New Roman" w:eastAsia="Times New Roman" w:hAnsi="Times New Roman"/>
          <w:sz w:val="24"/>
          <w:szCs w:val="24"/>
        </w:rPr>
        <w:t>9</w:t>
      </w:r>
      <w:r>
        <w:rPr>
          <w:rFonts w:ascii="Times New Roman" w:eastAsia="Times New Roman" w:hAnsi="Times New Roman"/>
          <w:sz w:val="24"/>
          <w:szCs w:val="24"/>
        </w:rPr>
        <w:t>-</w:t>
      </w:r>
      <w:r w:rsidR="00B1218E">
        <w:rPr>
          <w:rFonts w:ascii="Times New Roman" w:eastAsia="Times New Roman" w:hAnsi="Times New Roman"/>
          <w:sz w:val="24"/>
          <w:szCs w:val="24"/>
        </w:rPr>
        <w:t>20. Central transfers taking both tax devotion and grants declined from 16.29 percent to 9.79 percent during the same time. While shortfall in own revenues as compared to the budget estimates of the state accounts for only 10 percent</w:t>
      </w:r>
      <w:r w:rsidR="00BD0792">
        <w:rPr>
          <w:rFonts w:ascii="Times New Roman" w:eastAsia="Times New Roman" w:hAnsi="Times New Roman"/>
          <w:sz w:val="24"/>
          <w:szCs w:val="24"/>
        </w:rPr>
        <w:t xml:space="preserve"> of total </w:t>
      </w:r>
      <w:r w:rsidR="00BD0792">
        <w:rPr>
          <w:rFonts w:ascii="Times New Roman" w:eastAsia="Times New Roman" w:hAnsi="Times New Roman"/>
          <w:sz w:val="24"/>
          <w:szCs w:val="24"/>
        </w:rPr>
        <w:lastRenderedPageBreak/>
        <w:t xml:space="preserve">shortfall in revenue receipts, central transfers accounts for 90 percent. </w:t>
      </w:r>
      <w:r w:rsidR="00B1218E">
        <w:rPr>
          <w:rFonts w:ascii="Times New Roman" w:eastAsia="Times New Roman" w:hAnsi="Times New Roman"/>
          <w:sz w:val="24"/>
          <w:szCs w:val="24"/>
        </w:rPr>
        <w:t xml:space="preserve"> </w:t>
      </w:r>
      <w:r w:rsidR="00BD0792">
        <w:rPr>
          <w:rFonts w:ascii="Times New Roman" w:eastAsia="Times New Roman" w:hAnsi="Times New Roman"/>
          <w:sz w:val="24"/>
          <w:szCs w:val="24"/>
        </w:rPr>
        <w:t>As alluded earlier, c</w:t>
      </w:r>
      <w:r w:rsidR="000F1B5A">
        <w:rPr>
          <w:rFonts w:ascii="Times New Roman" w:eastAsia="Times New Roman" w:hAnsi="Times New Roman"/>
          <w:sz w:val="24"/>
          <w:szCs w:val="24"/>
        </w:rPr>
        <w:t>entral transfers, which constitute</w:t>
      </w:r>
      <w:r w:rsidR="00BD0792">
        <w:rPr>
          <w:rFonts w:ascii="Times New Roman" w:eastAsia="Times New Roman" w:hAnsi="Times New Roman"/>
          <w:sz w:val="24"/>
          <w:szCs w:val="24"/>
        </w:rPr>
        <w:t>d</w:t>
      </w:r>
      <w:r w:rsidR="000F1B5A">
        <w:rPr>
          <w:rFonts w:ascii="Times New Roman" w:eastAsia="Times New Roman" w:hAnsi="Times New Roman"/>
          <w:sz w:val="24"/>
          <w:szCs w:val="24"/>
        </w:rPr>
        <w:t xml:space="preserve"> about three-fourth of the aggregate revenue receipts</w:t>
      </w:r>
      <w:r w:rsidR="00BD0792">
        <w:rPr>
          <w:rFonts w:ascii="Times New Roman" w:eastAsia="Times New Roman" w:hAnsi="Times New Roman"/>
          <w:sz w:val="24"/>
          <w:szCs w:val="24"/>
        </w:rPr>
        <w:t xml:space="preserve">, reduced to about 52 percent of the total revenue. </w:t>
      </w:r>
    </w:p>
    <w:p w:rsidR="00D71BB5" w:rsidRPr="00D71BB5" w:rsidRDefault="00D71BB5" w:rsidP="003306DF">
      <w:pPr>
        <w:spacing w:line="360" w:lineRule="auto"/>
        <w:jc w:val="both"/>
        <w:rPr>
          <w:rFonts w:ascii="Times New Roman" w:eastAsia="Times New Roman" w:hAnsi="Times New Roman"/>
          <w:b/>
          <w:i/>
          <w:sz w:val="24"/>
          <w:szCs w:val="24"/>
        </w:rPr>
      </w:pPr>
      <w:r w:rsidRPr="00D71BB5">
        <w:rPr>
          <w:rFonts w:ascii="Times New Roman" w:eastAsia="Times New Roman" w:hAnsi="Times New Roman"/>
          <w:b/>
          <w:i/>
          <w:sz w:val="24"/>
          <w:szCs w:val="24"/>
        </w:rPr>
        <w:t>Trend of Individual State Taxes</w:t>
      </w:r>
    </w:p>
    <w:p w:rsidR="00D71BB5" w:rsidRDefault="00D71BB5" w:rsidP="00D71BB5">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24717F">
        <w:rPr>
          <w:rFonts w:ascii="Times New Roman" w:eastAsia="Times New Roman" w:hAnsi="Times New Roman"/>
          <w:sz w:val="24"/>
          <w:szCs w:val="24"/>
        </w:rPr>
        <w:t xml:space="preserve">trend of </w:t>
      </w:r>
      <w:r w:rsidR="004340C3">
        <w:rPr>
          <w:rFonts w:ascii="Times New Roman" w:eastAsia="Times New Roman" w:hAnsi="Times New Roman"/>
          <w:sz w:val="24"/>
          <w:szCs w:val="24"/>
        </w:rPr>
        <w:t xml:space="preserve">own tax revenue </w:t>
      </w:r>
      <w:r w:rsidR="0024717F">
        <w:rPr>
          <w:rFonts w:ascii="Times New Roman" w:eastAsia="Times New Roman" w:hAnsi="Times New Roman"/>
          <w:sz w:val="24"/>
          <w:szCs w:val="24"/>
        </w:rPr>
        <w:t>during the period 2011-12 to 201</w:t>
      </w:r>
      <w:r w:rsidR="00C72A55">
        <w:rPr>
          <w:rFonts w:ascii="Times New Roman" w:eastAsia="Times New Roman" w:hAnsi="Times New Roman"/>
          <w:sz w:val="24"/>
          <w:szCs w:val="24"/>
        </w:rPr>
        <w:t>9</w:t>
      </w:r>
      <w:r w:rsidR="0024717F">
        <w:rPr>
          <w:rFonts w:ascii="Times New Roman" w:eastAsia="Times New Roman" w:hAnsi="Times New Roman"/>
          <w:sz w:val="24"/>
          <w:szCs w:val="24"/>
        </w:rPr>
        <w:t>-</w:t>
      </w:r>
      <w:r w:rsidR="00C72A55">
        <w:rPr>
          <w:rFonts w:ascii="Times New Roman" w:eastAsia="Times New Roman" w:hAnsi="Times New Roman"/>
          <w:sz w:val="24"/>
          <w:szCs w:val="24"/>
        </w:rPr>
        <w:t>20</w:t>
      </w:r>
      <w:r w:rsidR="0024717F">
        <w:rPr>
          <w:rFonts w:ascii="Times New Roman" w:eastAsia="Times New Roman" w:hAnsi="Times New Roman"/>
          <w:sz w:val="24"/>
          <w:szCs w:val="24"/>
        </w:rPr>
        <w:t xml:space="preserve"> relative </w:t>
      </w:r>
      <w:r>
        <w:rPr>
          <w:rFonts w:ascii="Times New Roman" w:eastAsia="Times New Roman" w:hAnsi="Times New Roman"/>
          <w:sz w:val="24"/>
          <w:szCs w:val="24"/>
        </w:rPr>
        <w:t xml:space="preserve">to GSDP </w:t>
      </w:r>
      <w:r w:rsidR="0024717F">
        <w:rPr>
          <w:rFonts w:ascii="Times New Roman" w:eastAsia="Times New Roman" w:hAnsi="Times New Roman"/>
          <w:sz w:val="24"/>
          <w:szCs w:val="24"/>
        </w:rPr>
        <w:t>is con</w:t>
      </w:r>
      <w:r w:rsidR="00701882">
        <w:rPr>
          <w:rFonts w:ascii="Times New Roman" w:eastAsia="Times New Roman" w:hAnsi="Times New Roman"/>
          <w:sz w:val="24"/>
          <w:szCs w:val="24"/>
        </w:rPr>
        <w:t>tained in t</w:t>
      </w:r>
      <w:r>
        <w:rPr>
          <w:rFonts w:ascii="Times New Roman" w:eastAsia="Times New Roman" w:hAnsi="Times New Roman"/>
          <w:sz w:val="24"/>
          <w:szCs w:val="24"/>
        </w:rPr>
        <w:t xml:space="preserve">able </w:t>
      </w:r>
      <w:r w:rsidR="0046278E">
        <w:rPr>
          <w:rFonts w:ascii="Times New Roman" w:eastAsia="Times New Roman" w:hAnsi="Times New Roman"/>
          <w:sz w:val="24"/>
          <w:szCs w:val="24"/>
        </w:rPr>
        <w:t>3.1</w:t>
      </w:r>
      <w:r>
        <w:rPr>
          <w:rFonts w:ascii="Times New Roman" w:eastAsia="Times New Roman" w:hAnsi="Times New Roman"/>
          <w:sz w:val="24"/>
          <w:szCs w:val="24"/>
        </w:rPr>
        <w:t xml:space="preserve"> shows that </w:t>
      </w:r>
      <w:r w:rsidR="0024717F">
        <w:rPr>
          <w:rFonts w:ascii="Times New Roman" w:eastAsia="Times New Roman" w:hAnsi="Times New Roman"/>
          <w:sz w:val="24"/>
          <w:szCs w:val="24"/>
        </w:rPr>
        <w:t xml:space="preserve">aggregate of </w:t>
      </w:r>
      <w:r>
        <w:rPr>
          <w:rFonts w:ascii="Times New Roman" w:eastAsia="Times New Roman" w:hAnsi="Times New Roman"/>
          <w:sz w:val="24"/>
          <w:szCs w:val="24"/>
        </w:rPr>
        <w:t xml:space="preserve">state taxes </w:t>
      </w:r>
      <w:r w:rsidR="00C72A55">
        <w:rPr>
          <w:rFonts w:ascii="Times New Roman" w:eastAsia="Times New Roman" w:hAnsi="Times New Roman"/>
          <w:sz w:val="24"/>
          <w:szCs w:val="24"/>
        </w:rPr>
        <w:t>declined</w:t>
      </w:r>
      <w:r>
        <w:rPr>
          <w:rFonts w:ascii="Times New Roman" w:eastAsia="Times New Roman" w:hAnsi="Times New Roman"/>
          <w:sz w:val="24"/>
          <w:szCs w:val="24"/>
        </w:rPr>
        <w:t xml:space="preserve"> </w:t>
      </w:r>
      <w:r w:rsidR="0024717F">
        <w:rPr>
          <w:rFonts w:ascii="Times New Roman" w:eastAsia="Times New Roman" w:hAnsi="Times New Roman"/>
          <w:sz w:val="24"/>
          <w:szCs w:val="24"/>
        </w:rPr>
        <w:t xml:space="preserve">marginally </w:t>
      </w:r>
      <w:r>
        <w:rPr>
          <w:rFonts w:ascii="Times New Roman" w:eastAsia="Times New Roman" w:hAnsi="Times New Roman"/>
          <w:sz w:val="24"/>
          <w:szCs w:val="24"/>
        </w:rPr>
        <w:t>in the fiscal year</w:t>
      </w:r>
      <w:r w:rsidR="0024717F">
        <w:rPr>
          <w:rFonts w:ascii="Times New Roman" w:eastAsia="Times New Roman" w:hAnsi="Times New Roman"/>
          <w:sz w:val="24"/>
          <w:szCs w:val="24"/>
        </w:rPr>
        <w:t xml:space="preserve"> 201</w:t>
      </w:r>
      <w:r w:rsidR="00C72A55">
        <w:rPr>
          <w:rFonts w:ascii="Times New Roman" w:eastAsia="Times New Roman" w:hAnsi="Times New Roman"/>
          <w:sz w:val="24"/>
          <w:szCs w:val="24"/>
        </w:rPr>
        <w:t>9</w:t>
      </w:r>
      <w:r w:rsidR="0024717F">
        <w:rPr>
          <w:rFonts w:ascii="Times New Roman" w:eastAsia="Times New Roman" w:hAnsi="Times New Roman"/>
          <w:sz w:val="24"/>
          <w:szCs w:val="24"/>
        </w:rPr>
        <w:t>-</w:t>
      </w:r>
      <w:r w:rsidR="00C72A55">
        <w:rPr>
          <w:rFonts w:ascii="Times New Roman" w:eastAsia="Times New Roman" w:hAnsi="Times New Roman"/>
          <w:sz w:val="24"/>
          <w:szCs w:val="24"/>
        </w:rPr>
        <w:t>20</w:t>
      </w:r>
      <w:r w:rsidR="004340C3">
        <w:rPr>
          <w:rFonts w:ascii="Times New Roman" w:eastAsia="Times New Roman" w:hAnsi="Times New Roman"/>
          <w:sz w:val="24"/>
          <w:szCs w:val="24"/>
        </w:rPr>
        <w:t xml:space="preserve">. </w:t>
      </w:r>
      <w:r w:rsidR="00C72A55">
        <w:rPr>
          <w:rFonts w:ascii="Times New Roman" w:eastAsia="Times New Roman" w:hAnsi="Times New Roman"/>
          <w:sz w:val="24"/>
          <w:szCs w:val="24"/>
        </w:rPr>
        <w:t>Sales tax including GST from 2017-18 account for major share of own tax receipts. Its share in own tax revenue has increased from 57.46 percent in 2015-16 to 67.24 percent in 2019-20. However as percentage to GSDP sales and SGST declined from</w:t>
      </w:r>
      <w:r w:rsidR="00ED2355">
        <w:rPr>
          <w:rFonts w:ascii="Times New Roman" w:eastAsia="Times New Roman" w:hAnsi="Times New Roman"/>
          <w:sz w:val="24"/>
          <w:szCs w:val="24"/>
        </w:rPr>
        <w:t xml:space="preserve"> by 0.21 percentage points in 2019-20. </w:t>
      </w:r>
      <w:r w:rsidR="004340C3">
        <w:rPr>
          <w:rFonts w:ascii="Times New Roman" w:eastAsia="Times New Roman" w:hAnsi="Times New Roman"/>
          <w:sz w:val="24"/>
          <w:szCs w:val="24"/>
        </w:rPr>
        <w:t>The fiscal year 201</w:t>
      </w:r>
      <w:r w:rsidR="00ED2355">
        <w:rPr>
          <w:rFonts w:ascii="Times New Roman" w:eastAsia="Times New Roman" w:hAnsi="Times New Roman"/>
          <w:sz w:val="24"/>
          <w:szCs w:val="24"/>
        </w:rPr>
        <w:t>9</w:t>
      </w:r>
      <w:r w:rsidR="004340C3">
        <w:rPr>
          <w:rFonts w:ascii="Times New Roman" w:eastAsia="Times New Roman" w:hAnsi="Times New Roman"/>
          <w:sz w:val="24"/>
          <w:szCs w:val="24"/>
        </w:rPr>
        <w:t>-</w:t>
      </w:r>
      <w:r w:rsidR="00ED2355">
        <w:rPr>
          <w:rFonts w:ascii="Times New Roman" w:eastAsia="Times New Roman" w:hAnsi="Times New Roman"/>
          <w:sz w:val="24"/>
          <w:szCs w:val="24"/>
        </w:rPr>
        <w:t>20</w:t>
      </w:r>
      <w:r w:rsidR="004340C3">
        <w:rPr>
          <w:rFonts w:ascii="Times New Roman" w:eastAsia="Times New Roman" w:hAnsi="Times New Roman"/>
          <w:sz w:val="24"/>
          <w:szCs w:val="24"/>
        </w:rPr>
        <w:t xml:space="preserve"> was the </w:t>
      </w:r>
      <w:r w:rsidR="00ED2355">
        <w:rPr>
          <w:rFonts w:ascii="Times New Roman" w:eastAsia="Times New Roman" w:hAnsi="Times New Roman"/>
          <w:sz w:val="24"/>
          <w:szCs w:val="24"/>
        </w:rPr>
        <w:t xml:space="preserve">third </w:t>
      </w:r>
      <w:r w:rsidR="004340C3">
        <w:rPr>
          <w:rFonts w:ascii="Times New Roman" w:eastAsia="Times New Roman" w:hAnsi="Times New Roman"/>
          <w:sz w:val="24"/>
          <w:szCs w:val="24"/>
        </w:rPr>
        <w:t>year of implementation of goods and service</w:t>
      </w:r>
      <w:r w:rsidR="0046278E">
        <w:rPr>
          <w:rFonts w:ascii="Times New Roman" w:eastAsia="Times New Roman" w:hAnsi="Times New Roman"/>
          <w:sz w:val="24"/>
          <w:szCs w:val="24"/>
        </w:rPr>
        <w:t>s</w:t>
      </w:r>
      <w:r w:rsidR="004340C3">
        <w:rPr>
          <w:rFonts w:ascii="Times New Roman" w:eastAsia="Times New Roman" w:hAnsi="Times New Roman"/>
          <w:sz w:val="24"/>
          <w:szCs w:val="24"/>
        </w:rPr>
        <w:t xml:space="preserve"> tax</w:t>
      </w:r>
      <w:r w:rsidR="00E61DA3">
        <w:rPr>
          <w:rFonts w:ascii="Times New Roman" w:eastAsia="Times New Roman" w:hAnsi="Times New Roman"/>
          <w:sz w:val="24"/>
          <w:szCs w:val="24"/>
        </w:rPr>
        <w:t xml:space="preserve"> </w:t>
      </w:r>
      <w:r w:rsidR="004340C3">
        <w:rPr>
          <w:rFonts w:ascii="Times New Roman" w:eastAsia="Times New Roman" w:hAnsi="Times New Roman"/>
          <w:sz w:val="24"/>
          <w:szCs w:val="24"/>
        </w:rPr>
        <w:t>(GST)</w:t>
      </w:r>
      <w:r w:rsidR="00E61DA3">
        <w:rPr>
          <w:rFonts w:ascii="Times New Roman" w:eastAsia="Times New Roman" w:hAnsi="Times New Roman"/>
          <w:sz w:val="24"/>
          <w:szCs w:val="24"/>
        </w:rPr>
        <w:t>.</w:t>
      </w:r>
      <w:r w:rsidR="004340C3">
        <w:rPr>
          <w:rFonts w:ascii="Times New Roman" w:eastAsia="Times New Roman" w:hAnsi="Times New Roman"/>
          <w:sz w:val="24"/>
          <w:szCs w:val="24"/>
        </w:rPr>
        <w:t xml:space="preserve"> Because of the teething problems in the implementation process and decline in national growth rate, GST </w:t>
      </w:r>
      <w:r w:rsidR="00E61DA3">
        <w:rPr>
          <w:rFonts w:ascii="Times New Roman" w:eastAsia="Times New Roman" w:hAnsi="Times New Roman"/>
          <w:sz w:val="24"/>
          <w:szCs w:val="24"/>
        </w:rPr>
        <w:t xml:space="preserve">fared badly in the first year of its implementation. </w:t>
      </w:r>
      <w:r w:rsidR="00ED2355">
        <w:rPr>
          <w:rFonts w:ascii="Times New Roman" w:eastAsia="Times New Roman" w:hAnsi="Times New Roman"/>
          <w:sz w:val="24"/>
          <w:szCs w:val="24"/>
        </w:rPr>
        <w:t>While a</w:t>
      </w:r>
      <w:r w:rsidR="00E61DA3">
        <w:rPr>
          <w:rFonts w:ascii="Times New Roman" w:eastAsia="Times New Roman" w:hAnsi="Times New Roman"/>
          <w:sz w:val="24"/>
          <w:szCs w:val="24"/>
        </w:rPr>
        <w:t xml:space="preserve">n improvement in 2018-19 </w:t>
      </w:r>
      <w:r w:rsidR="00ED2355">
        <w:rPr>
          <w:rFonts w:ascii="Times New Roman" w:eastAsia="Times New Roman" w:hAnsi="Times New Roman"/>
          <w:sz w:val="24"/>
          <w:szCs w:val="24"/>
        </w:rPr>
        <w:t xml:space="preserve">indicated </w:t>
      </w:r>
      <w:r w:rsidR="00E61DA3">
        <w:rPr>
          <w:rFonts w:ascii="Times New Roman" w:eastAsia="Times New Roman" w:hAnsi="Times New Roman"/>
          <w:sz w:val="24"/>
          <w:szCs w:val="24"/>
        </w:rPr>
        <w:t xml:space="preserve">positive </w:t>
      </w:r>
      <w:r w:rsidR="00ED2355">
        <w:rPr>
          <w:rFonts w:ascii="Times New Roman" w:eastAsia="Times New Roman" w:hAnsi="Times New Roman"/>
          <w:sz w:val="24"/>
          <w:szCs w:val="24"/>
        </w:rPr>
        <w:t>movement, the 2019-20 data shows that GST has not emerged as a buoyant source. Other state taxes show decline as percentage to GSDP in 2019-20</w:t>
      </w:r>
    </w:p>
    <w:p w:rsidR="00BD6405" w:rsidRDefault="00BD6405" w:rsidP="00BD6405">
      <w:pPr>
        <w:spacing w:after="0" w:line="360" w:lineRule="auto"/>
        <w:jc w:val="both"/>
        <w:rPr>
          <w:rFonts w:ascii="Times New Roman" w:eastAsia="Times New Roman" w:hAnsi="Times New Roman"/>
          <w:sz w:val="24"/>
          <w:szCs w:val="24"/>
        </w:rPr>
      </w:pPr>
    </w:p>
    <w:p w:rsidR="0053326B" w:rsidRDefault="0053326B" w:rsidP="00BD6405">
      <w:pPr>
        <w:spacing w:after="0" w:line="360" w:lineRule="auto"/>
        <w:jc w:val="both"/>
        <w:rPr>
          <w:rFonts w:ascii="Times New Roman" w:eastAsia="Times New Roman" w:hAnsi="Times New Roman"/>
          <w:sz w:val="24"/>
          <w:szCs w:val="24"/>
        </w:rPr>
      </w:pPr>
      <w:r w:rsidRPr="0053326B">
        <w:rPr>
          <w:rFonts w:ascii="Times New Roman" w:eastAsia="Times New Roman" w:hAnsi="Times New Roman"/>
          <w:sz w:val="24"/>
          <w:szCs w:val="24"/>
        </w:rPr>
        <w:t xml:space="preserve">The buoyancy coefficients, reflecting the response of tax growth relative to the growth of state economy, for two periods are given in </w:t>
      </w:r>
      <w:r w:rsidR="00701882">
        <w:rPr>
          <w:rFonts w:ascii="Times New Roman" w:eastAsia="Times New Roman" w:hAnsi="Times New Roman"/>
          <w:sz w:val="24"/>
          <w:szCs w:val="24"/>
        </w:rPr>
        <w:t>t</w:t>
      </w:r>
      <w:r w:rsidRPr="0053326B">
        <w:rPr>
          <w:rFonts w:ascii="Times New Roman" w:eastAsia="Times New Roman" w:hAnsi="Times New Roman"/>
          <w:sz w:val="24"/>
          <w:szCs w:val="24"/>
        </w:rPr>
        <w:t>able 3</w:t>
      </w:r>
      <w:r w:rsidR="0046278E">
        <w:rPr>
          <w:rFonts w:ascii="Times New Roman" w:eastAsia="Times New Roman" w:hAnsi="Times New Roman"/>
          <w:sz w:val="24"/>
          <w:szCs w:val="24"/>
        </w:rPr>
        <w:t>.2</w:t>
      </w:r>
      <w:r w:rsidRPr="0053326B">
        <w:rPr>
          <w:rFonts w:ascii="Times New Roman" w:eastAsia="Times New Roman" w:hAnsi="Times New Roman"/>
          <w:sz w:val="24"/>
          <w:szCs w:val="24"/>
        </w:rPr>
        <w:t>. The longer period buoyancy coefficients, from 2004-05 to 20</w:t>
      </w:r>
      <w:r w:rsidR="007F4552">
        <w:rPr>
          <w:rFonts w:ascii="Times New Roman" w:eastAsia="Times New Roman" w:hAnsi="Times New Roman"/>
          <w:sz w:val="24"/>
          <w:szCs w:val="24"/>
        </w:rPr>
        <w:t>1</w:t>
      </w:r>
      <w:r w:rsidR="00E347B1">
        <w:rPr>
          <w:rFonts w:ascii="Times New Roman" w:eastAsia="Times New Roman" w:hAnsi="Times New Roman"/>
          <w:sz w:val="24"/>
          <w:szCs w:val="24"/>
        </w:rPr>
        <w:t>9</w:t>
      </w:r>
      <w:r w:rsidR="007F4552">
        <w:rPr>
          <w:rFonts w:ascii="Times New Roman" w:eastAsia="Times New Roman" w:hAnsi="Times New Roman"/>
          <w:sz w:val="24"/>
          <w:szCs w:val="24"/>
        </w:rPr>
        <w:t>-</w:t>
      </w:r>
      <w:r w:rsidR="00E347B1">
        <w:rPr>
          <w:rFonts w:ascii="Times New Roman" w:eastAsia="Times New Roman" w:hAnsi="Times New Roman"/>
          <w:sz w:val="24"/>
          <w:szCs w:val="24"/>
        </w:rPr>
        <w:t>20</w:t>
      </w:r>
      <w:r w:rsidRPr="0053326B">
        <w:rPr>
          <w:rFonts w:ascii="Times New Roman" w:eastAsia="Times New Roman" w:hAnsi="Times New Roman"/>
          <w:sz w:val="24"/>
          <w:szCs w:val="24"/>
        </w:rPr>
        <w:t xml:space="preserve"> shows that taxes have not grown commensurate with the growing economy over the years for which the buoyancy coefficients remain low. The results of regression method adopted to estimate tax buoyancy for a longer period is considered as more robust. The sectors</w:t>
      </w:r>
      <w:r w:rsidR="00701882" w:rsidRPr="00135EB9">
        <w:rPr>
          <w:rFonts w:ascii="Times New Roman" w:eastAsia="Times New Roman" w:hAnsi="Times New Roman"/>
          <w:sz w:val="24"/>
          <w:szCs w:val="24"/>
        </w:rPr>
        <w:t>:</w:t>
      </w:r>
      <w:r w:rsidR="00701882">
        <w:rPr>
          <w:rFonts w:ascii="Times New Roman" w:eastAsia="Times New Roman" w:hAnsi="Times New Roman"/>
          <w:sz w:val="24"/>
          <w:szCs w:val="24"/>
        </w:rPr>
        <w:t xml:space="preserve"> </w:t>
      </w:r>
      <w:r w:rsidRPr="0053326B">
        <w:rPr>
          <w:rFonts w:ascii="Times New Roman" w:eastAsia="Times New Roman" w:hAnsi="Times New Roman"/>
          <w:sz w:val="24"/>
          <w:szCs w:val="24"/>
        </w:rPr>
        <w:t xml:space="preserve">electricity and manufacturing, growing rapidly and contributing to growth process since 2008-09 have not contributed to tax revenues. Although the value of the electricity generated by the newly commissioned hydroelectric units contributes to the growth numbers, it does not enlarge the tax base. Similarly, the improved production by the pharmaceuticals in the manufacturing sector, though adds to the growth, most of it goes out of the </w:t>
      </w:r>
      <w:r w:rsidR="0046278E">
        <w:rPr>
          <w:rFonts w:ascii="Times New Roman" w:eastAsia="Times New Roman" w:hAnsi="Times New Roman"/>
          <w:sz w:val="24"/>
          <w:szCs w:val="24"/>
        </w:rPr>
        <w:t>s</w:t>
      </w:r>
      <w:r w:rsidRPr="0053326B">
        <w:rPr>
          <w:rFonts w:ascii="Times New Roman" w:eastAsia="Times New Roman" w:hAnsi="Times New Roman"/>
          <w:sz w:val="24"/>
          <w:szCs w:val="24"/>
        </w:rPr>
        <w:t xml:space="preserve">tate in the form of consignments attracting no </w:t>
      </w:r>
      <w:r w:rsidR="00586997">
        <w:rPr>
          <w:rFonts w:ascii="Times New Roman" w:eastAsia="Times New Roman" w:hAnsi="Times New Roman"/>
          <w:sz w:val="24"/>
          <w:szCs w:val="24"/>
        </w:rPr>
        <w:t>GST</w:t>
      </w:r>
      <w:r w:rsidRPr="0053326B">
        <w:rPr>
          <w:rFonts w:ascii="Times New Roman" w:eastAsia="Times New Roman" w:hAnsi="Times New Roman"/>
          <w:sz w:val="24"/>
          <w:szCs w:val="24"/>
        </w:rPr>
        <w:t>.</w:t>
      </w:r>
    </w:p>
    <w:p w:rsidR="00BD6405" w:rsidRDefault="00BD6405" w:rsidP="00D71BB5">
      <w:pPr>
        <w:autoSpaceDE w:val="0"/>
        <w:autoSpaceDN w:val="0"/>
        <w:adjustRightInd w:val="0"/>
        <w:spacing w:after="0" w:line="360" w:lineRule="auto"/>
        <w:jc w:val="both"/>
        <w:rPr>
          <w:rFonts w:ascii="Times New Roman" w:eastAsia="Times New Roman" w:hAnsi="Times New Roman"/>
          <w:color w:val="FF0000"/>
          <w:sz w:val="24"/>
          <w:szCs w:val="24"/>
        </w:rPr>
      </w:pPr>
    </w:p>
    <w:p w:rsidR="00D71BB5" w:rsidRDefault="00934D3E" w:rsidP="00D71BB5">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Tax bouncy estimated for more recent years from 2011-12 to 201</w:t>
      </w:r>
      <w:r w:rsidR="00E347B1">
        <w:rPr>
          <w:rFonts w:ascii="Times New Roman" w:eastAsia="Times New Roman" w:hAnsi="Times New Roman"/>
          <w:sz w:val="24"/>
          <w:szCs w:val="24"/>
        </w:rPr>
        <w:t>9</w:t>
      </w:r>
      <w:r>
        <w:rPr>
          <w:rFonts w:ascii="Times New Roman" w:eastAsia="Times New Roman" w:hAnsi="Times New Roman"/>
          <w:sz w:val="24"/>
          <w:szCs w:val="24"/>
        </w:rPr>
        <w:t>-</w:t>
      </w:r>
      <w:r w:rsidR="00E347B1">
        <w:rPr>
          <w:rFonts w:ascii="Times New Roman" w:eastAsia="Times New Roman" w:hAnsi="Times New Roman"/>
          <w:sz w:val="24"/>
          <w:szCs w:val="24"/>
        </w:rPr>
        <w:t>20</w:t>
      </w:r>
      <w:r>
        <w:rPr>
          <w:rFonts w:ascii="Times New Roman" w:eastAsia="Times New Roman" w:hAnsi="Times New Roman"/>
          <w:sz w:val="24"/>
          <w:szCs w:val="24"/>
        </w:rPr>
        <w:t xml:space="preserve">, shows an improvement as aggregate buoyancy coefficient has </w:t>
      </w:r>
      <w:r w:rsidR="00E347B1">
        <w:rPr>
          <w:rFonts w:ascii="Times New Roman" w:eastAsia="Times New Roman" w:hAnsi="Times New Roman"/>
          <w:sz w:val="24"/>
          <w:szCs w:val="24"/>
        </w:rPr>
        <w:t xml:space="preserve">nearly reached </w:t>
      </w:r>
      <w:r>
        <w:rPr>
          <w:rFonts w:ascii="Times New Roman" w:eastAsia="Times New Roman" w:hAnsi="Times New Roman"/>
          <w:sz w:val="24"/>
          <w:szCs w:val="24"/>
        </w:rPr>
        <w:t xml:space="preserve">1.  This implies, the tax growth rate has </w:t>
      </w:r>
      <w:r w:rsidR="00E347B1">
        <w:rPr>
          <w:rFonts w:ascii="Times New Roman" w:eastAsia="Times New Roman" w:hAnsi="Times New Roman"/>
          <w:sz w:val="24"/>
          <w:szCs w:val="24"/>
        </w:rPr>
        <w:t xml:space="preserve">started catching up with </w:t>
      </w:r>
      <w:r>
        <w:rPr>
          <w:rFonts w:ascii="Times New Roman" w:eastAsia="Times New Roman" w:hAnsi="Times New Roman"/>
          <w:sz w:val="24"/>
          <w:szCs w:val="24"/>
        </w:rPr>
        <w:t>GSDP growth rate</w:t>
      </w:r>
      <w:r w:rsidR="00E347B1">
        <w:rPr>
          <w:rFonts w:ascii="Times New Roman" w:eastAsia="Times New Roman" w:hAnsi="Times New Roman"/>
          <w:sz w:val="24"/>
          <w:szCs w:val="24"/>
        </w:rPr>
        <w:t xml:space="preserve">. </w:t>
      </w:r>
      <w:r>
        <w:rPr>
          <w:rFonts w:ascii="Times New Roman" w:eastAsia="Times New Roman" w:hAnsi="Times New Roman"/>
          <w:sz w:val="24"/>
          <w:szCs w:val="24"/>
        </w:rPr>
        <w:t>The buoyancy</w:t>
      </w:r>
      <w:r w:rsidR="009F7BC9">
        <w:rPr>
          <w:rFonts w:ascii="Times New Roman" w:eastAsia="Times New Roman" w:hAnsi="Times New Roman"/>
          <w:sz w:val="24"/>
          <w:szCs w:val="24"/>
        </w:rPr>
        <w:t xml:space="preserve"> coefficient</w:t>
      </w:r>
      <w:r>
        <w:rPr>
          <w:rFonts w:ascii="Times New Roman" w:eastAsia="Times New Roman" w:hAnsi="Times New Roman"/>
          <w:sz w:val="24"/>
          <w:szCs w:val="24"/>
        </w:rPr>
        <w:t xml:space="preserve"> of sales tax </w:t>
      </w:r>
      <w:r w:rsidR="009F7BC9">
        <w:rPr>
          <w:rFonts w:ascii="Times New Roman" w:eastAsia="Times New Roman" w:hAnsi="Times New Roman"/>
          <w:sz w:val="24"/>
          <w:szCs w:val="24"/>
        </w:rPr>
        <w:t>and SGST taken together shows an impressive figure of 1.</w:t>
      </w:r>
      <w:r w:rsidR="00E347B1">
        <w:rPr>
          <w:rFonts w:ascii="Times New Roman" w:eastAsia="Times New Roman" w:hAnsi="Times New Roman"/>
          <w:sz w:val="24"/>
          <w:szCs w:val="24"/>
        </w:rPr>
        <w:t>333</w:t>
      </w:r>
      <w:r w:rsidR="009F7BC9">
        <w:rPr>
          <w:rFonts w:ascii="Times New Roman" w:eastAsia="Times New Roman" w:hAnsi="Times New Roman"/>
          <w:sz w:val="24"/>
          <w:szCs w:val="24"/>
        </w:rPr>
        <w:t>. This has</w:t>
      </w:r>
      <w:r>
        <w:rPr>
          <w:rFonts w:ascii="Times New Roman" w:eastAsia="Times New Roman" w:hAnsi="Times New Roman"/>
          <w:sz w:val="24"/>
          <w:szCs w:val="24"/>
        </w:rPr>
        <w:t xml:space="preserve"> positively influenced the </w:t>
      </w:r>
      <w:r>
        <w:rPr>
          <w:rFonts w:ascii="Times New Roman" w:eastAsia="Times New Roman" w:hAnsi="Times New Roman"/>
          <w:sz w:val="24"/>
          <w:szCs w:val="24"/>
        </w:rPr>
        <w:lastRenderedPageBreak/>
        <w:t xml:space="preserve">aggregate tax buoyancy. It reflects the expansion in </w:t>
      </w:r>
      <w:r w:rsidR="00D71BB5" w:rsidRPr="002F5F62">
        <w:rPr>
          <w:rFonts w:ascii="Times New Roman" w:eastAsia="Times New Roman" w:hAnsi="Times New Roman"/>
          <w:sz w:val="24"/>
          <w:szCs w:val="24"/>
        </w:rPr>
        <w:t xml:space="preserve">economic activity due to </w:t>
      </w:r>
      <w:r>
        <w:rPr>
          <w:rFonts w:ascii="Times New Roman" w:eastAsia="Times New Roman" w:hAnsi="Times New Roman"/>
          <w:sz w:val="24"/>
          <w:szCs w:val="24"/>
        </w:rPr>
        <w:t xml:space="preserve">higher contribution of industry and services sectors. </w:t>
      </w:r>
    </w:p>
    <w:p w:rsidR="00D71BB5" w:rsidRPr="004C3D33" w:rsidRDefault="00D71BB5" w:rsidP="00D71BB5">
      <w:pPr>
        <w:spacing w:after="0" w:line="240" w:lineRule="auto"/>
        <w:jc w:val="center"/>
        <w:rPr>
          <w:rFonts w:ascii="Times New Roman" w:eastAsia="Times New Roman" w:hAnsi="Times New Roman"/>
          <w:b/>
        </w:rPr>
      </w:pPr>
      <w:r w:rsidRPr="004C3D33">
        <w:rPr>
          <w:rFonts w:ascii="Times New Roman" w:eastAsia="Times New Roman" w:hAnsi="Times New Roman"/>
          <w:b/>
        </w:rPr>
        <w:t xml:space="preserve">Table </w:t>
      </w:r>
      <w:r>
        <w:rPr>
          <w:rFonts w:ascii="Times New Roman" w:eastAsia="Times New Roman" w:hAnsi="Times New Roman"/>
          <w:b/>
        </w:rPr>
        <w:t>3</w:t>
      </w:r>
      <w:r w:rsidR="0046278E">
        <w:rPr>
          <w:rFonts w:ascii="Times New Roman" w:eastAsia="Times New Roman" w:hAnsi="Times New Roman"/>
          <w:b/>
        </w:rPr>
        <w:t>.2</w:t>
      </w:r>
      <w:r w:rsidR="00701882">
        <w:rPr>
          <w:rFonts w:ascii="Times New Roman" w:eastAsia="Times New Roman" w:hAnsi="Times New Roman"/>
          <w:b/>
        </w:rPr>
        <w:t xml:space="preserve">: </w:t>
      </w:r>
      <w:r w:rsidRPr="004C3D33">
        <w:rPr>
          <w:rFonts w:ascii="Times New Roman" w:eastAsia="Times New Roman" w:hAnsi="Times New Roman"/>
          <w:b/>
        </w:rPr>
        <w:t xml:space="preserve">Buoyancy </w:t>
      </w:r>
      <w:r w:rsidR="005A2631" w:rsidRPr="004C3D33">
        <w:rPr>
          <w:rFonts w:ascii="Times New Roman" w:eastAsia="Times New Roman" w:hAnsi="Times New Roman"/>
          <w:b/>
        </w:rPr>
        <w:t xml:space="preserve">of </w:t>
      </w:r>
      <w:r w:rsidR="005A2631">
        <w:rPr>
          <w:rFonts w:ascii="Times New Roman" w:eastAsia="Times New Roman" w:hAnsi="Times New Roman"/>
          <w:b/>
        </w:rPr>
        <w:t xml:space="preserve">State </w:t>
      </w:r>
      <w:r w:rsidRPr="004C3D33">
        <w:rPr>
          <w:rFonts w:ascii="Times New Roman" w:eastAsia="Times New Roman" w:hAnsi="Times New Roman"/>
          <w:b/>
        </w:rPr>
        <w:t>Taxes</w:t>
      </w:r>
    </w:p>
    <w:tbl>
      <w:tblPr>
        <w:tblW w:w="4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268"/>
        <w:gridCol w:w="2241"/>
      </w:tblGrid>
      <w:tr w:rsidR="005A2631" w:rsidRPr="00F53529" w:rsidTr="00362499">
        <w:trPr>
          <w:trHeight w:val="16"/>
          <w:jc w:val="center"/>
        </w:trPr>
        <w:tc>
          <w:tcPr>
            <w:tcW w:w="2097" w:type="pct"/>
            <w:shd w:val="clear" w:color="auto" w:fill="auto"/>
            <w:noWrap/>
            <w:vAlign w:val="center"/>
          </w:tcPr>
          <w:p w:rsidR="005A2631" w:rsidRPr="00F53529" w:rsidRDefault="005A2631" w:rsidP="00F53529">
            <w:pPr>
              <w:spacing w:before="120" w:after="0" w:line="240" w:lineRule="auto"/>
              <w:rPr>
                <w:rFonts w:ascii="Times New Roman" w:eastAsia="Times New Roman" w:hAnsi="Times New Roman"/>
                <w:b/>
                <w:color w:val="000000"/>
                <w:sz w:val="20"/>
                <w:szCs w:val="20"/>
              </w:rPr>
            </w:pPr>
          </w:p>
        </w:tc>
        <w:tc>
          <w:tcPr>
            <w:tcW w:w="1460" w:type="pct"/>
            <w:shd w:val="clear" w:color="auto" w:fill="auto"/>
            <w:noWrap/>
            <w:vAlign w:val="center"/>
          </w:tcPr>
          <w:p w:rsidR="005A2631" w:rsidRPr="00F53529" w:rsidRDefault="005A2631" w:rsidP="00F53529">
            <w:pPr>
              <w:spacing w:before="120" w:after="0" w:line="240" w:lineRule="auto"/>
              <w:jc w:val="center"/>
              <w:rPr>
                <w:rFonts w:ascii="Times New Roman" w:eastAsia="Times New Roman" w:hAnsi="Times New Roman"/>
                <w:b/>
                <w:sz w:val="20"/>
                <w:szCs w:val="20"/>
              </w:rPr>
            </w:pPr>
            <w:r w:rsidRPr="00F53529">
              <w:rPr>
                <w:rFonts w:ascii="Times New Roman" w:eastAsia="Times New Roman" w:hAnsi="Times New Roman"/>
                <w:b/>
                <w:sz w:val="20"/>
                <w:szCs w:val="20"/>
              </w:rPr>
              <w:t>2004-05 to 201</w:t>
            </w:r>
            <w:r w:rsidR="00CC616A" w:rsidRPr="00F53529">
              <w:rPr>
                <w:rFonts w:ascii="Times New Roman" w:eastAsia="Times New Roman" w:hAnsi="Times New Roman"/>
                <w:b/>
                <w:sz w:val="20"/>
                <w:szCs w:val="20"/>
              </w:rPr>
              <w:t>9-20</w:t>
            </w:r>
          </w:p>
        </w:tc>
        <w:tc>
          <w:tcPr>
            <w:tcW w:w="1443" w:type="pct"/>
            <w:vAlign w:val="center"/>
          </w:tcPr>
          <w:p w:rsidR="005A2631" w:rsidRPr="00F53529" w:rsidRDefault="005A2631" w:rsidP="00F53529">
            <w:pPr>
              <w:spacing w:before="120" w:after="0" w:line="240" w:lineRule="auto"/>
              <w:jc w:val="center"/>
              <w:rPr>
                <w:rFonts w:ascii="Times New Roman" w:eastAsia="Times New Roman" w:hAnsi="Times New Roman"/>
                <w:b/>
                <w:sz w:val="20"/>
                <w:szCs w:val="20"/>
              </w:rPr>
            </w:pPr>
            <w:r w:rsidRPr="00F53529">
              <w:rPr>
                <w:rFonts w:ascii="Times New Roman" w:eastAsia="Times New Roman" w:hAnsi="Times New Roman"/>
                <w:b/>
                <w:sz w:val="20"/>
                <w:szCs w:val="20"/>
              </w:rPr>
              <w:t>2011-12 to 201</w:t>
            </w:r>
            <w:r w:rsidR="00CC616A" w:rsidRPr="00F53529">
              <w:rPr>
                <w:rFonts w:ascii="Times New Roman" w:eastAsia="Times New Roman" w:hAnsi="Times New Roman"/>
                <w:b/>
                <w:sz w:val="20"/>
                <w:szCs w:val="20"/>
              </w:rPr>
              <w:t>9</w:t>
            </w:r>
            <w:r w:rsidRPr="00F53529">
              <w:rPr>
                <w:rFonts w:ascii="Times New Roman" w:eastAsia="Times New Roman" w:hAnsi="Times New Roman"/>
                <w:b/>
                <w:sz w:val="20"/>
                <w:szCs w:val="20"/>
              </w:rPr>
              <w:t>-</w:t>
            </w:r>
            <w:r w:rsidR="00CC616A" w:rsidRPr="00F53529">
              <w:rPr>
                <w:rFonts w:ascii="Times New Roman" w:eastAsia="Times New Roman" w:hAnsi="Times New Roman"/>
                <w:b/>
                <w:sz w:val="20"/>
                <w:szCs w:val="20"/>
              </w:rPr>
              <w:t>20</w:t>
            </w:r>
          </w:p>
        </w:tc>
      </w:tr>
      <w:tr w:rsidR="00CC616A" w:rsidRPr="00F53529" w:rsidTr="00362499">
        <w:trPr>
          <w:trHeight w:val="16"/>
          <w:jc w:val="center"/>
        </w:trPr>
        <w:tc>
          <w:tcPr>
            <w:tcW w:w="2097" w:type="pct"/>
            <w:shd w:val="clear" w:color="auto" w:fill="auto"/>
            <w:noWrap/>
            <w:vAlign w:val="center"/>
          </w:tcPr>
          <w:p w:rsidR="00CC616A" w:rsidRPr="00F53529" w:rsidRDefault="00CC616A" w:rsidP="00F53529">
            <w:pPr>
              <w:spacing w:before="120" w:after="0" w:line="240" w:lineRule="auto"/>
              <w:rPr>
                <w:rFonts w:ascii="Times New Roman" w:eastAsia="Times New Roman" w:hAnsi="Times New Roman"/>
                <w:color w:val="000000"/>
                <w:sz w:val="20"/>
                <w:szCs w:val="20"/>
              </w:rPr>
            </w:pPr>
            <w:r w:rsidRPr="00F53529">
              <w:rPr>
                <w:rFonts w:ascii="Times New Roman" w:eastAsia="Times New Roman" w:hAnsi="Times New Roman"/>
                <w:color w:val="000000"/>
                <w:sz w:val="20"/>
                <w:szCs w:val="20"/>
              </w:rPr>
              <w:t>Own Tax Revenues</w:t>
            </w:r>
          </w:p>
        </w:tc>
        <w:tc>
          <w:tcPr>
            <w:tcW w:w="1460" w:type="pct"/>
            <w:shd w:val="clear" w:color="auto" w:fill="auto"/>
            <w:noWrap/>
            <w:vAlign w:val="center"/>
          </w:tcPr>
          <w:p w:rsidR="00CC616A" w:rsidRPr="00F53529" w:rsidRDefault="00CC616A" w:rsidP="00F53529">
            <w:pPr>
              <w:spacing w:after="0"/>
              <w:jc w:val="center"/>
              <w:rPr>
                <w:rFonts w:ascii="Times New Roman" w:hAnsi="Times New Roman"/>
                <w:sz w:val="20"/>
                <w:szCs w:val="20"/>
              </w:rPr>
            </w:pPr>
            <w:r w:rsidRPr="00F53529">
              <w:rPr>
                <w:rFonts w:ascii="Times New Roman" w:hAnsi="Times New Roman"/>
                <w:sz w:val="20"/>
                <w:szCs w:val="20"/>
              </w:rPr>
              <w:t>0.653</w:t>
            </w:r>
          </w:p>
        </w:tc>
        <w:tc>
          <w:tcPr>
            <w:tcW w:w="1443" w:type="pct"/>
            <w:vAlign w:val="center"/>
          </w:tcPr>
          <w:p w:rsidR="00CC616A" w:rsidRPr="00F53529" w:rsidRDefault="00CC616A" w:rsidP="00F53529">
            <w:pPr>
              <w:spacing w:after="0"/>
              <w:jc w:val="center"/>
              <w:rPr>
                <w:rFonts w:ascii="Times New Roman" w:hAnsi="Times New Roman"/>
                <w:sz w:val="20"/>
                <w:szCs w:val="20"/>
              </w:rPr>
            </w:pPr>
            <w:r w:rsidRPr="00F53529">
              <w:rPr>
                <w:rFonts w:ascii="Times New Roman" w:hAnsi="Times New Roman"/>
                <w:sz w:val="20"/>
                <w:szCs w:val="20"/>
              </w:rPr>
              <w:t>0.995</w:t>
            </w:r>
          </w:p>
        </w:tc>
      </w:tr>
      <w:tr w:rsidR="00CC616A" w:rsidRPr="00F53529" w:rsidTr="00362499">
        <w:trPr>
          <w:trHeight w:val="16"/>
          <w:jc w:val="center"/>
        </w:trPr>
        <w:tc>
          <w:tcPr>
            <w:tcW w:w="2097" w:type="pct"/>
            <w:shd w:val="clear" w:color="auto" w:fill="auto"/>
            <w:noWrap/>
            <w:vAlign w:val="center"/>
          </w:tcPr>
          <w:p w:rsidR="00CC616A" w:rsidRPr="00F53529" w:rsidRDefault="00CC616A" w:rsidP="00F53529">
            <w:pPr>
              <w:spacing w:before="120" w:after="0" w:line="240" w:lineRule="auto"/>
              <w:rPr>
                <w:rFonts w:ascii="Times New Roman" w:eastAsia="Times New Roman" w:hAnsi="Times New Roman"/>
                <w:color w:val="000000"/>
                <w:sz w:val="20"/>
                <w:szCs w:val="20"/>
              </w:rPr>
            </w:pPr>
            <w:r w:rsidRPr="00F53529">
              <w:rPr>
                <w:rFonts w:ascii="Times New Roman" w:eastAsia="Times New Roman" w:hAnsi="Times New Roman"/>
                <w:color w:val="000000"/>
                <w:sz w:val="20"/>
                <w:szCs w:val="20"/>
              </w:rPr>
              <w:t>Sales Tax + SGST</w:t>
            </w:r>
          </w:p>
        </w:tc>
        <w:tc>
          <w:tcPr>
            <w:tcW w:w="1460" w:type="pct"/>
            <w:shd w:val="clear" w:color="auto" w:fill="auto"/>
            <w:noWrap/>
            <w:vAlign w:val="center"/>
          </w:tcPr>
          <w:p w:rsidR="00CC616A" w:rsidRPr="00F53529" w:rsidRDefault="00CC616A" w:rsidP="00F53529">
            <w:pPr>
              <w:spacing w:after="0"/>
              <w:jc w:val="center"/>
              <w:rPr>
                <w:rFonts w:ascii="Times New Roman" w:hAnsi="Times New Roman"/>
                <w:sz w:val="20"/>
                <w:szCs w:val="20"/>
              </w:rPr>
            </w:pPr>
            <w:r w:rsidRPr="00F53529">
              <w:rPr>
                <w:rFonts w:ascii="Times New Roman" w:hAnsi="Times New Roman"/>
                <w:sz w:val="20"/>
                <w:szCs w:val="20"/>
              </w:rPr>
              <w:t>0.797</w:t>
            </w:r>
          </w:p>
        </w:tc>
        <w:tc>
          <w:tcPr>
            <w:tcW w:w="1443" w:type="pct"/>
            <w:vAlign w:val="center"/>
          </w:tcPr>
          <w:p w:rsidR="00CC616A" w:rsidRPr="00F53529" w:rsidRDefault="00CC616A" w:rsidP="00F53529">
            <w:pPr>
              <w:spacing w:after="0"/>
              <w:jc w:val="center"/>
              <w:rPr>
                <w:rFonts w:ascii="Times New Roman" w:hAnsi="Times New Roman"/>
                <w:sz w:val="20"/>
                <w:szCs w:val="20"/>
              </w:rPr>
            </w:pPr>
            <w:r w:rsidRPr="00F53529">
              <w:rPr>
                <w:rFonts w:ascii="Times New Roman" w:hAnsi="Times New Roman"/>
                <w:sz w:val="20"/>
                <w:szCs w:val="20"/>
              </w:rPr>
              <w:t>1.333</w:t>
            </w:r>
          </w:p>
        </w:tc>
      </w:tr>
      <w:tr w:rsidR="00F53529" w:rsidRPr="00F53529" w:rsidTr="00362499">
        <w:trPr>
          <w:trHeight w:val="16"/>
          <w:jc w:val="center"/>
        </w:trPr>
        <w:tc>
          <w:tcPr>
            <w:tcW w:w="2097" w:type="pct"/>
            <w:shd w:val="clear" w:color="auto" w:fill="auto"/>
            <w:noWrap/>
            <w:vAlign w:val="center"/>
          </w:tcPr>
          <w:p w:rsidR="00F53529" w:rsidRPr="00F53529" w:rsidRDefault="00F53529" w:rsidP="00F53529">
            <w:pPr>
              <w:spacing w:before="120" w:after="0" w:line="240" w:lineRule="auto"/>
              <w:rPr>
                <w:rFonts w:ascii="Times New Roman" w:eastAsia="Times New Roman" w:hAnsi="Times New Roman"/>
                <w:color w:val="000000"/>
                <w:sz w:val="20"/>
                <w:szCs w:val="20"/>
              </w:rPr>
            </w:pPr>
            <w:r w:rsidRPr="00F53529">
              <w:rPr>
                <w:rFonts w:ascii="Times New Roman" w:eastAsia="Times New Roman" w:hAnsi="Times New Roman"/>
                <w:color w:val="000000"/>
                <w:sz w:val="20"/>
                <w:szCs w:val="20"/>
              </w:rPr>
              <w:t>State Excise Duties</w:t>
            </w:r>
          </w:p>
        </w:tc>
        <w:tc>
          <w:tcPr>
            <w:tcW w:w="1460" w:type="pct"/>
            <w:shd w:val="clear" w:color="auto" w:fill="auto"/>
            <w:noWrap/>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0.657</w:t>
            </w:r>
          </w:p>
        </w:tc>
        <w:tc>
          <w:tcPr>
            <w:tcW w:w="1443" w:type="pct"/>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0.662</w:t>
            </w:r>
          </w:p>
        </w:tc>
      </w:tr>
      <w:tr w:rsidR="00F53529" w:rsidRPr="00F53529" w:rsidTr="00362499">
        <w:trPr>
          <w:trHeight w:val="16"/>
          <w:jc w:val="center"/>
        </w:trPr>
        <w:tc>
          <w:tcPr>
            <w:tcW w:w="2097" w:type="pct"/>
            <w:shd w:val="clear" w:color="auto" w:fill="auto"/>
            <w:noWrap/>
            <w:vAlign w:val="center"/>
          </w:tcPr>
          <w:p w:rsidR="00F53529" w:rsidRPr="00F53529" w:rsidRDefault="00F53529" w:rsidP="00F53529">
            <w:pPr>
              <w:spacing w:before="120" w:after="0" w:line="240" w:lineRule="auto"/>
              <w:rPr>
                <w:rFonts w:ascii="Times New Roman" w:eastAsia="Times New Roman" w:hAnsi="Times New Roman"/>
                <w:color w:val="000000"/>
                <w:sz w:val="20"/>
                <w:szCs w:val="20"/>
              </w:rPr>
            </w:pPr>
            <w:r w:rsidRPr="00F53529">
              <w:rPr>
                <w:rFonts w:ascii="Times New Roman" w:eastAsia="Times New Roman" w:hAnsi="Times New Roman"/>
                <w:color w:val="000000"/>
                <w:sz w:val="20"/>
                <w:szCs w:val="20"/>
              </w:rPr>
              <w:t>Motor Vehicle Tax</w:t>
            </w:r>
          </w:p>
        </w:tc>
        <w:tc>
          <w:tcPr>
            <w:tcW w:w="1460" w:type="pct"/>
            <w:shd w:val="clear" w:color="auto" w:fill="auto"/>
            <w:noWrap/>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0.758</w:t>
            </w:r>
          </w:p>
        </w:tc>
        <w:tc>
          <w:tcPr>
            <w:tcW w:w="1443" w:type="pct"/>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0.891</w:t>
            </w:r>
          </w:p>
        </w:tc>
      </w:tr>
      <w:tr w:rsidR="00F53529" w:rsidRPr="00F53529" w:rsidTr="00362499">
        <w:trPr>
          <w:trHeight w:val="16"/>
          <w:jc w:val="center"/>
        </w:trPr>
        <w:tc>
          <w:tcPr>
            <w:tcW w:w="2097" w:type="pct"/>
            <w:shd w:val="clear" w:color="auto" w:fill="auto"/>
            <w:noWrap/>
            <w:vAlign w:val="center"/>
          </w:tcPr>
          <w:p w:rsidR="00F53529" w:rsidRPr="00F53529" w:rsidRDefault="00F53529" w:rsidP="00F53529">
            <w:pPr>
              <w:spacing w:before="120" w:after="0" w:line="240" w:lineRule="auto"/>
              <w:rPr>
                <w:rFonts w:ascii="Times New Roman" w:eastAsia="Times New Roman" w:hAnsi="Times New Roman"/>
                <w:color w:val="000000"/>
                <w:sz w:val="20"/>
                <w:szCs w:val="20"/>
              </w:rPr>
            </w:pPr>
            <w:r w:rsidRPr="00F53529">
              <w:rPr>
                <w:rFonts w:ascii="Times New Roman" w:eastAsia="Times New Roman" w:hAnsi="Times New Roman"/>
                <w:color w:val="000000"/>
                <w:sz w:val="20"/>
                <w:szCs w:val="20"/>
              </w:rPr>
              <w:t>Stamp Duty and Registration Fees</w:t>
            </w:r>
          </w:p>
        </w:tc>
        <w:tc>
          <w:tcPr>
            <w:tcW w:w="1460" w:type="pct"/>
            <w:shd w:val="clear" w:color="auto" w:fill="auto"/>
            <w:noWrap/>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0.635</w:t>
            </w:r>
          </w:p>
        </w:tc>
        <w:tc>
          <w:tcPr>
            <w:tcW w:w="1443" w:type="pct"/>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0.898</w:t>
            </w:r>
          </w:p>
        </w:tc>
      </w:tr>
      <w:tr w:rsidR="00F53529" w:rsidRPr="00F53529" w:rsidTr="00362499">
        <w:trPr>
          <w:trHeight w:val="16"/>
          <w:jc w:val="center"/>
        </w:trPr>
        <w:tc>
          <w:tcPr>
            <w:tcW w:w="2097" w:type="pct"/>
            <w:shd w:val="clear" w:color="auto" w:fill="auto"/>
            <w:noWrap/>
            <w:vAlign w:val="center"/>
          </w:tcPr>
          <w:p w:rsidR="00F53529" w:rsidRPr="00F53529" w:rsidRDefault="00F53529" w:rsidP="00F53529">
            <w:pPr>
              <w:spacing w:before="120" w:after="0" w:line="240" w:lineRule="auto"/>
              <w:rPr>
                <w:rFonts w:ascii="Times New Roman" w:eastAsia="Times New Roman" w:hAnsi="Times New Roman"/>
                <w:color w:val="000000"/>
                <w:sz w:val="20"/>
                <w:szCs w:val="20"/>
              </w:rPr>
            </w:pPr>
            <w:r w:rsidRPr="00F53529">
              <w:rPr>
                <w:rFonts w:ascii="Times New Roman" w:eastAsia="Times New Roman" w:hAnsi="Times New Roman"/>
                <w:color w:val="000000"/>
                <w:sz w:val="20"/>
                <w:szCs w:val="20"/>
              </w:rPr>
              <w:t>Other Taxes</w:t>
            </w:r>
          </w:p>
        </w:tc>
        <w:tc>
          <w:tcPr>
            <w:tcW w:w="1460" w:type="pct"/>
            <w:shd w:val="clear" w:color="auto" w:fill="auto"/>
            <w:noWrap/>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1.049</w:t>
            </w:r>
          </w:p>
        </w:tc>
        <w:tc>
          <w:tcPr>
            <w:tcW w:w="1443" w:type="pct"/>
            <w:vAlign w:val="center"/>
          </w:tcPr>
          <w:p w:rsidR="00F53529" w:rsidRPr="00F53529" w:rsidRDefault="00F53529" w:rsidP="00F53529">
            <w:pPr>
              <w:spacing w:after="0"/>
              <w:jc w:val="center"/>
              <w:rPr>
                <w:rFonts w:ascii="Times New Roman" w:hAnsi="Times New Roman"/>
                <w:sz w:val="20"/>
                <w:szCs w:val="20"/>
              </w:rPr>
            </w:pPr>
            <w:r w:rsidRPr="00F53529">
              <w:rPr>
                <w:rFonts w:ascii="Times New Roman" w:hAnsi="Times New Roman"/>
                <w:sz w:val="20"/>
                <w:szCs w:val="20"/>
              </w:rPr>
              <w:t>0.167</w:t>
            </w:r>
          </w:p>
        </w:tc>
      </w:tr>
    </w:tbl>
    <w:p w:rsidR="00D71BB5" w:rsidRDefault="00362499" w:rsidP="00D71BB5">
      <w:pPr>
        <w:spacing w:line="360" w:lineRule="auto"/>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71BB5" w:rsidRPr="00362499">
        <w:rPr>
          <w:rFonts w:ascii="Times New Roman" w:eastAsia="Times New Roman" w:hAnsi="Times New Roman"/>
          <w:b/>
          <w:sz w:val="20"/>
          <w:szCs w:val="20"/>
        </w:rPr>
        <w:t>Source</w:t>
      </w:r>
      <w:r w:rsidR="00D71BB5" w:rsidRPr="004C3D33">
        <w:rPr>
          <w:rFonts w:ascii="Times New Roman" w:eastAsia="Times New Roman" w:hAnsi="Times New Roman"/>
          <w:sz w:val="20"/>
          <w:szCs w:val="20"/>
        </w:rPr>
        <w:t xml:space="preserve"> (Basic Data): Finance Accounts and State Budget 20</w:t>
      </w:r>
      <w:r w:rsidR="009F7BC9">
        <w:rPr>
          <w:rFonts w:ascii="Times New Roman" w:eastAsia="Times New Roman" w:hAnsi="Times New Roman"/>
          <w:sz w:val="20"/>
          <w:szCs w:val="20"/>
        </w:rPr>
        <w:t>2</w:t>
      </w:r>
      <w:r w:rsidR="00F53529">
        <w:rPr>
          <w:rFonts w:ascii="Times New Roman" w:eastAsia="Times New Roman" w:hAnsi="Times New Roman"/>
          <w:sz w:val="20"/>
          <w:szCs w:val="20"/>
        </w:rPr>
        <w:t>1</w:t>
      </w:r>
      <w:r w:rsidR="009F7BC9">
        <w:rPr>
          <w:rFonts w:ascii="Times New Roman" w:eastAsia="Times New Roman" w:hAnsi="Times New Roman"/>
          <w:sz w:val="20"/>
          <w:szCs w:val="20"/>
        </w:rPr>
        <w:t>-2</w:t>
      </w:r>
      <w:r w:rsidR="00F53529">
        <w:rPr>
          <w:rFonts w:ascii="Times New Roman" w:eastAsia="Times New Roman" w:hAnsi="Times New Roman"/>
          <w:sz w:val="20"/>
          <w:szCs w:val="20"/>
        </w:rPr>
        <w:t>2</w:t>
      </w:r>
      <w:r>
        <w:rPr>
          <w:rFonts w:ascii="Times New Roman" w:eastAsia="Times New Roman" w:hAnsi="Times New Roman"/>
          <w:sz w:val="20"/>
          <w:szCs w:val="20"/>
        </w:rPr>
        <w:t>.</w:t>
      </w:r>
    </w:p>
    <w:p w:rsidR="00561CE6" w:rsidRPr="00561CE6" w:rsidRDefault="00561CE6" w:rsidP="00D71BB5">
      <w:pPr>
        <w:autoSpaceDE w:val="0"/>
        <w:autoSpaceDN w:val="0"/>
        <w:adjustRightInd w:val="0"/>
        <w:spacing w:after="0" w:line="360" w:lineRule="auto"/>
        <w:jc w:val="both"/>
        <w:rPr>
          <w:rFonts w:ascii="Times New Roman" w:eastAsia="Times New Roman" w:hAnsi="Times New Roman"/>
          <w:b/>
          <w:i/>
          <w:sz w:val="24"/>
          <w:szCs w:val="24"/>
        </w:rPr>
      </w:pPr>
      <w:r w:rsidRPr="00561CE6">
        <w:rPr>
          <w:rFonts w:ascii="Times New Roman" w:eastAsia="Times New Roman" w:hAnsi="Times New Roman"/>
          <w:b/>
          <w:i/>
          <w:sz w:val="24"/>
          <w:szCs w:val="24"/>
        </w:rPr>
        <w:t>The Transfers from Centre</w:t>
      </w:r>
    </w:p>
    <w:p w:rsidR="00561CE6" w:rsidRDefault="00561CE6" w:rsidP="00D71BB5">
      <w:pPr>
        <w:autoSpaceDE w:val="0"/>
        <w:autoSpaceDN w:val="0"/>
        <w:adjustRightInd w:val="0"/>
        <w:spacing w:after="0" w:line="360" w:lineRule="auto"/>
        <w:jc w:val="both"/>
        <w:rPr>
          <w:rFonts w:ascii="Times New Roman" w:eastAsia="Times New Roman" w:hAnsi="Times New Roman"/>
          <w:sz w:val="24"/>
          <w:szCs w:val="24"/>
        </w:rPr>
      </w:pPr>
    </w:p>
    <w:p w:rsidR="000C3B6D" w:rsidRDefault="000C3B6D" w:rsidP="00D71BB5">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It has already been discussed as to how decline in </w:t>
      </w:r>
      <w:r w:rsidR="00D71BB5" w:rsidRPr="004C3D33">
        <w:rPr>
          <w:rFonts w:ascii="Times New Roman" w:eastAsia="Times New Roman" w:hAnsi="Times New Roman"/>
          <w:sz w:val="24"/>
          <w:szCs w:val="24"/>
        </w:rPr>
        <w:t>central transfer</w:t>
      </w:r>
      <w:r>
        <w:rPr>
          <w:rFonts w:ascii="Times New Roman" w:eastAsia="Times New Roman" w:hAnsi="Times New Roman"/>
          <w:sz w:val="24"/>
          <w:szCs w:val="24"/>
        </w:rPr>
        <w:t>s affected the financial management in 2019-20 in earlier paragraphs. While a point has been made that the dependency of Sikkim on central transfers has gone down from an average of about 75 percent in earlier years to 52 percent in 2019-20. However, this relative change in shares between own revenues and central transfers has not happened due to rise in own revenue receipts. Own revenue receipts also failed to be buoyant over the years. This has resulted in overall deterioration of resource envelo</w:t>
      </w:r>
      <w:r w:rsidR="00362499">
        <w:rPr>
          <w:rFonts w:ascii="Times New Roman" w:eastAsia="Times New Roman" w:hAnsi="Times New Roman"/>
          <w:sz w:val="24"/>
          <w:szCs w:val="24"/>
        </w:rPr>
        <w:t xml:space="preserve">pe and rise in fiscal pressure </w:t>
      </w:r>
      <w:r w:rsidR="00362499" w:rsidRPr="00135EB9">
        <w:rPr>
          <w:rFonts w:ascii="Times New Roman" w:eastAsia="Times New Roman" w:hAnsi="Times New Roman"/>
          <w:sz w:val="24"/>
          <w:szCs w:val="24"/>
        </w:rPr>
        <w:t>a</w:t>
      </w:r>
      <w:r w:rsidRPr="00135EB9">
        <w:rPr>
          <w:rFonts w:ascii="Times New Roman" w:eastAsia="Times New Roman" w:hAnsi="Times New Roman"/>
          <w:sz w:val="24"/>
          <w:szCs w:val="24"/>
        </w:rPr>
        <w:t>s</w:t>
      </w:r>
      <w:r>
        <w:rPr>
          <w:rFonts w:ascii="Times New Roman" w:eastAsia="Times New Roman" w:hAnsi="Times New Roman"/>
          <w:sz w:val="24"/>
          <w:szCs w:val="24"/>
        </w:rPr>
        <w:t xml:space="preserve"> the state remained dependent upon central transfers unpredictability in flow of funds, as was the case in 2019-20 brings lots of distortions. </w:t>
      </w:r>
    </w:p>
    <w:p w:rsidR="000C3B6D" w:rsidRDefault="000C3B6D" w:rsidP="00D71BB5">
      <w:pPr>
        <w:autoSpaceDE w:val="0"/>
        <w:autoSpaceDN w:val="0"/>
        <w:adjustRightInd w:val="0"/>
        <w:spacing w:after="0" w:line="360" w:lineRule="auto"/>
        <w:jc w:val="both"/>
        <w:rPr>
          <w:rFonts w:ascii="Times New Roman" w:eastAsia="Times New Roman" w:hAnsi="Times New Roman"/>
          <w:sz w:val="24"/>
          <w:szCs w:val="24"/>
        </w:rPr>
      </w:pPr>
    </w:p>
    <w:p w:rsidR="00656CB8" w:rsidRDefault="00D71BB5" w:rsidP="00D71BB5">
      <w:pPr>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2015-16, following the </w:t>
      </w:r>
      <w:r w:rsidR="00E5282C">
        <w:rPr>
          <w:rFonts w:ascii="Times New Roman" w:eastAsia="Times New Roman" w:hAnsi="Times New Roman"/>
          <w:sz w:val="24"/>
          <w:szCs w:val="24"/>
        </w:rPr>
        <w:t xml:space="preserve">FC-XIV </w:t>
      </w:r>
      <w:r>
        <w:rPr>
          <w:rFonts w:ascii="Times New Roman" w:eastAsia="Times New Roman" w:hAnsi="Times New Roman"/>
          <w:sz w:val="24"/>
          <w:szCs w:val="24"/>
        </w:rPr>
        <w:t>recommendations</w:t>
      </w:r>
      <w:r w:rsidR="00E5282C">
        <w:rPr>
          <w:rFonts w:ascii="Times New Roman" w:eastAsia="Times New Roman" w:hAnsi="Times New Roman"/>
          <w:sz w:val="24"/>
          <w:szCs w:val="24"/>
        </w:rPr>
        <w:t>,</w:t>
      </w:r>
      <w:r>
        <w:rPr>
          <w:rFonts w:ascii="Times New Roman" w:eastAsia="Times New Roman" w:hAnsi="Times New Roman"/>
          <w:sz w:val="24"/>
          <w:szCs w:val="24"/>
        </w:rPr>
        <w:t xml:space="preserve"> the share in central taxes has more than doubled as compar</w:t>
      </w:r>
      <w:r w:rsidR="00362499">
        <w:rPr>
          <w:rFonts w:ascii="Times New Roman" w:eastAsia="Times New Roman" w:hAnsi="Times New Roman"/>
          <w:sz w:val="24"/>
          <w:szCs w:val="24"/>
        </w:rPr>
        <w:t>ed to 2014-15, but grants from c</w:t>
      </w:r>
      <w:r>
        <w:rPr>
          <w:rFonts w:ascii="Times New Roman" w:eastAsia="Times New Roman" w:hAnsi="Times New Roman"/>
          <w:sz w:val="24"/>
          <w:szCs w:val="24"/>
        </w:rPr>
        <w:t>entre has declined significantly</w:t>
      </w:r>
      <w:r w:rsidR="003570ED">
        <w:rPr>
          <w:rFonts w:ascii="Times New Roman" w:eastAsia="Times New Roman" w:hAnsi="Times New Roman"/>
          <w:sz w:val="24"/>
          <w:szCs w:val="24"/>
        </w:rPr>
        <w:t xml:space="preserve">. </w:t>
      </w:r>
      <w:r>
        <w:rPr>
          <w:rFonts w:ascii="Times New Roman" w:eastAsia="Times New Roman" w:hAnsi="Times New Roman"/>
          <w:sz w:val="24"/>
          <w:szCs w:val="24"/>
        </w:rPr>
        <w:t xml:space="preserve">The share of </w:t>
      </w:r>
      <w:r w:rsidR="00362499">
        <w:rPr>
          <w:rFonts w:ascii="Times New Roman" w:eastAsia="Times New Roman" w:hAnsi="Times New Roman"/>
          <w:sz w:val="24"/>
          <w:szCs w:val="24"/>
        </w:rPr>
        <w:t>grants from c</w:t>
      </w:r>
      <w:r w:rsidRPr="00BE2EB4">
        <w:rPr>
          <w:rFonts w:ascii="Times New Roman" w:eastAsia="Times New Roman" w:hAnsi="Times New Roman"/>
          <w:sz w:val="24"/>
          <w:szCs w:val="24"/>
        </w:rPr>
        <w:t xml:space="preserve">entre </w:t>
      </w:r>
      <w:r>
        <w:rPr>
          <w:rFonts w:ascii="Times New Roman" w:eastAsia="Times New Roman" w:hAnsi="Times New Roman"/>
          <w:sz w:val="24"/>
          <w:szCs w:val="24"/>
        </w:rPr>
        <w:t>to GSDP in 2015-16 came down to 5.</w:t>
      </w:r>
      <w:r w:rsidR="00E5282C">
        <w:rPr>
          <w:rFonts w:ascii="Times New Roman" w:eastAsia="Times New Roman" w:hAnsi="Times New Roman"/>
          <w:sz w:val="24"/>
          <w:szCs w:val="24"/>
        </w:rPr>
        <w:t>62</w:t>
      </w:r>
      <w:r>
        <w:rPr>
          <w:rFonts w:ascii="Times New Roman" w:eastAsia="Times New Roman" w:hAnsi="Times New Roman"/>
          <w:sz w:val="24"/>
          <w:szCs w:val="24"/>
        </w:rPr>
        <w:t xml:space="preserve"> percent, compared to 1</w:t>
      </w:r>
      <w:r w:rsidR="000C3B6D">
        <w:rPr>
          <w:rFonts w:ascii="Times New Roman" w:eastAsia="Times New Roman" w:hAnsi="Times New Roman"/>
          <w:sz w:val="24"/>
          <w:szCs w:val="24"/>
        </w:rPr>
        <w:t>6</w:t>
      </w:r>
      <w:r>
        <w:rPr>
          <w:rFonts w:ascii="Times New Roman" w:eastAsia="Times New Roman" w:hAnsi="Times New Roman"/>
          <w:sz w:val="24"/>
          <w:szCs w:val="24"/>
        </w:rPr>
        <w:t>.7</w:t>
      </w:r>
      <w:r w:rsidR="00E5282C">
        <w:rPr>
          <w:rFonts w:ascii="Times New Roman" w:eastAsia="Times New Roman" w:hAnsi="Times New Roman"/>
          <w:sz w:val="24"/>
          <w:szCs w:val="24"/>
        </w:rPr>
        <w:t>2</w:t>
      </w:r>
      <w:r>
        <w:rPr>
          <w:rFonts w:ascii="Times New Roman" w:eastAsia="Times New Roman" w:hAnsi="Times New Roman"/>
          <w:sz w:val="24"/>
          <w:szCs w:val="24"/>
        </w:rPr>
        <w:t xml:space="preserve"> percent in 2014-15</w:t>
      </w:r>
      <w:r w:rsidR="000C3B6D">
        <w:rPr>
          <w:rFonts w:ascii="Times New Roman" w:eastAsia="Times New Roman" w:hAnsi="Times New Roman"/>
          <w:sz w:val="24"/>
          <w:szCs w:val="24"/>
        </w:rPr>
        <w:t>.</w:t>
      </w:r>
      <w:r>
        <w:rPr>
          <w:rFonts w:ascii="Times New Roman" w:eastAsia="Times New Roman" w:hAnsi="Times New Roman"/>
          <w:sz w:val="24"/>
          <w:szCs w:val="24"/>
        </w:rPr>
        <w:t xml:space="preserve"> </w:t>
      </w:r>
      <w:r w:rsidR="00517EA9">
        <w:rPr>
          <w:rFonts w:ascii="Times New Roman" w:eastAsia="Times New Roman" w:hAnsi="Times New Roman"/>
          <w:sz w:val="24"/>
          <w:szCs w:val="24"/>
        </w:rPr>
        <w:t>I</w:t>
      </w:r>
      <w:r>
        <w:rPr>
          <w:rFonts w:ascii="Times New Roman" w:eastAsia="Times New Roman" w:hAnsi="Times New Roman"/>
          <w:sz w:val="24"/>
          <w:szCs w:val="24"/>
        </w:rPr>
        <w:t>n</w:t>
      </w:r>
      <w:r w:rsidR="00362499">
        <w:rPr>
          <w:rFonts w:ascii="Times New Roman" w:eastAsia="Times New Roman" w:hAnsi="Times New Roman"/>
          <w:sz w:val="24"/>
          <w:szCs w:val="24"/>
        </w:rPr>
        <w:t xml:space="preserve"> nominal terms the grants from c</w:t>
      </w:r>
      <w:r>
        <w:rPr>
          <w:rFonts w:ascii="Times New Roman" w:eastAsia="Times New Roman" w:hAnsi="Times New Roman"/>
          <w:sz w:val="24"/>
          <w:szCs w:val="24"/>
        </w:rPr>
        <w:t xml:space="preserve">entre was Rs. 2427 crore in 2014-15, which came down to Rs. </w:t>
      </w:r>
      <w:r w:rsidRPr="00487B51">
        <w:rPr>
          <w:rFonts w:ascii="Times New Roman" w:eastAsia="Times New Roman" w:hAnsi="Times New Roman"/>
          <w:sz w:val="24"/>
          <w:szCs w:val="24"/>
        </w:rPr>
        <w:t>934</w:t>
      </w:r>
      <w:r>
        <w:rPr>
          <w:rFonts w:ascii="Times New Roman" w:eastAsia="Times New Roman" w:hAnsi="Times New Roman"/>
          <w:sz w:val="24"/>
          <w:szCs w:val="24"/>
        </w:rPr>
        <w:t xml:space="preserve">.20 crore in 2015-16. </w:t>
      </w:r>
      <w:r w:rsidR="00656CB8">
        <w:rPr>
          <w:rFonts w:ascii="Times New Roman" w:eastAsia="Times New Roman" w:hAnsi="Times New Roman"/>
          <w:sz w:val="24"/>
          <w:szCs w:val="24"/>
        </w:rPr>
        <w:t xml:space="preserve">In 2029-20 both the tax devolution and grants declined considerably. Central transfers in nominal terms declined by Rs.1187 crores in 2019-20 as compared to the previous year. </w:t>
      </w:r>
      <w:r w:rsidR="00517EA9">
        <w:rPr>
          <w:rFonts w:ascii="Times New Roman" w:eastAsia="Times New Roman" w:hAnsi="Times New Roman"/>
          <w:sz w:val="24"/>
          <w:szCs w:val="24"/>
        </w:rPr>
        <w:t>The year-on-year growth of central transfer shows that</w:t>
      </w:r>
      <w:r w:rsidR="00526AA7">
        <w:rPr>
          <w:rFonts w:ascii="Times New Roman" w:eastAsia="Times New Roman" w:hAnsi="Times New Roman"/>
          <w:sz w:val="24"/>
          <w:szCs w:val="24"/>
        </w:rPr>
        <w:t xml:space="preserve"> </w:t>
      </w:r>
      <w:r w:rsidR="00656CB8">
        <w:rPr>
          <w:rFonts w:ascii="Times New Roman" w:eastAsia="Times New Roman" w:hAnsi="Times New Roman"/>
          <w:sz w:val="24"/>
          <w:szCs w:val="24"/>
        </w:rPr>
        <w:t xml:space="preserve">it declined by about 27 percent over the previous year. </w:t>
      </w:r>
    </w:p>
    <w:p w:rsidR="00362499" w:rsidRDefault="00362499" w:rsidP="00D71BB5">
      <w:pPr>
        <w:autoSpaceDE w:val="0"/>
        <w:autoSpaceDN w:val="0"/>
        <w:adjustRightInd w:val="0"/>
        <w:spacing w:line="360" w:lineRule="auto"/>
        <w:jc w:val="both"/>
        <w:rPr>
          <w:rFonts w:ascii="Times New Roman" w:eastAsia="Times New Roman" w:hAnsi="Times New Roman"/>
          <w:sz w:val="24"/>
          <w:szCs w:val="24"/>
        </w:rPr>
      </w:pPr>
    </w:p>
    <w:p w:rsidR="00ED6302" w:rsidRDefault="00ED6302" w:rsidP="00D71BB5">
      <w:pPr>
        <w:autoSpaceDE w:val="0"/>
        <w:autoSpaceDN w:val="0"/>
        <w:adjustRightInd w:val="0"/>
        <w:spacing w:line="360" w:lineRule="auto"/>
        <w:jc w:val="both"/>
        <w:rPr>
          <w:rFonts w:ascii="Times New Roman" w:eastAsia="Times New Roman" w:hAnsi="Times New Roman"/>
          <w:sz w:val="24"/>
          <w:szCs w:val="24"/>
        </w:rPr>
      </w:pPr>
    </w:p>
    <w:p w:rsidR="00E02CFE" w:rsidRPr="00E02CFE" w:rsidRDefault="003570ED" w:rsidP="00C713BA">
      <w:pPr>
        <w:keepNext/>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3.3 </w:t>
      </w:r>
      <w:r w:rsidR="00E02CFE" w:rsidRPr="00E02CFE">
        <w:rPr>
          <w:rFonts w:ascii="Times New Roman" w:eastAsia="Times New Roman" w:hAnsi="Times New Roman"/>
          <w:b/>
          <w:sz w:val="24"/>
          <w:szCs w:val="24"/>
        </w:rPr>
        <w:t xml:space="preserve">The Expenditure Trends </w:t>
      </w:r>
    </w:p>
    <w:p w:rsidR="00C713BA" w:rsidRDefault="00C713BA" w:rsidP="00E02CFE">
      <w:pPr>
        <w:autoSpaceDE w:val="0"/>
        <w:autoSpaceDN w:val="0"/>
        <w:adjustRightInd w:val="0"/>
        <w:spacing w:line="360" w:lineRule="auto"/>
        <w:jc w:val="both"/>
        <w:rPr>
          <w:rFonts w:ascii="Times New Roman" w:eastAsiaTheme="minorHAnsi" w:hAnsi="Times New Roman"/>
          <w:sz w:val="24"/>
          <w:szCs w:val="24"/>
        </w:rPr>
      </w:pPr>
    </w:p>
    <w:p w:rsidR="007A62EC" w:rsidRPr="007A62EC" w:rsidRDefault="007A62EC" w:rsidP="00E02CFE">
      <w:pPr>
        <w:autoSpaceDE w:val="0"/>
        <w:autoSpaceDN w:val="0"/>
        <w:adjustRightInd w:val="0"/>
        <w:spacing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Deterioration in revenue receipts necessitates </w:t>
      </w:r>
      <w:r w:rsidR="00036C4C">
        <w:rPr>
          <w:rFonts w:ascii="Times New Roman" w:eastAsiaTheme="minorHAnsi" w:hAnsi="Times New Roman"/>
          <w:sz w:val="24"/>
          <w:szCs w:val="24"/>
        </w:rPr>
        <w:t xml:space="preserve">prioritizing </w:t>
      </w:r>
      <w:r>
        <w:rPr>
          <w:rFonts w:ascii="Times New Roman" w:eastAsiaTheme="minorHAnsi" w:hAnsi="Times New Roman"/>
          <w:sz w:val="24"/>
          <w:szCs w:val="24"/>
        </w:rPr>
        <w:t>spending items given the fiscal outcome targets like deficit and debt</w:t>
      </w:r>
      <w:r w:rsidR="00907357">
        <w:rPr>
          <w:rFonts w:ascii="Times New Roman" w:eastAsiaTheme="minorHAnsi" w:hAnsi="Times New Roman"/>
          <w:sz w:val="24"/>
          <w:szCs w:val="24"/>
        </w:rPr>
        <w:t xml:space="preserve"> in FRBM Act</w:t>
      </w:r>
      <w:r>
        <w:rPr>
          <w:rFonts w:ascii="Times New Roman" w:eastAsiaTheme="minorHAnsi" w:hAnsi="Times New Roman"/>
          <w:sz w:val="24"/>
          <w:szCs w:val="24"/>
        </w:rPr>
        <w:t>. The adjustments are possible, if the size of the resource envelope is foreseen</w:t>
      </w:r>
      <w:r w:rsidR="00907357">
        <w:rPr>
          <w:rFonts w:ascii="Times New Roman" w:eastAsiaTheme="minorHAnsi" w:hAnsi="Times New Roman"/>
          <w:sz w:val="24"/>
          <w:szCs w:val="24"/>
        </w:rPr>
        <w:t>.</w:t>
      </w:r>
      <w:r>
        <w:rPr>
          <w:rFonts w:ascii="Times New Roman" w:eastAsiaTheme="minorHAnsi" w:hAnsi="Times New Roman"/>
          <w:sz w:val="24"/>
          <w:szCs w:val="24"/>
        </w:rPr>
        <w:t xml:space="preserve"> </w:t>
      </w:r>
      <w:r w:rsidR="00036C4C">
        <w:rPr>
          <w:rFonts w:ascii="Times New Roman" w:eastAsiaTheme="minorHAnsi" w:hAnsi="Times New Roman"/>
          <w:sz w:val="24"/>
          <w:szCs w:val="24"/>
        </w:rPr>
        <w:t xml:space="preserve">While own revenue projections at states’ level gives reasonably good score for budget realism, central transfers have remained unpredictable. Given the dependence of Sikkim on central transfers, it becomes difficult to make abrupt adjustments to spending, which are committed in nature. </w:t>
      </w:r>
    </w:p>
    <w:p w:rsidR="0035722B" w:rsidRPr="00DC61DA" w:rsidRDefault="00E02CFE" w:rsidP="00E02CFE">
      <w:pPr>
        <w:autoSpaceDE w:val="0"/>
        <w:autoSpaceDN w:val="0"/>
        <w:adjustRightInd w:val="0"/>
        <w:spacing w:line="360" w:lineRule="auto"/>
        <w:jc w:val="both"/>
        <w:rPr>
          <w:rFonts w:ascii="Times New Roman" w:eastAsia="Times New Roman" w:hAnsi="Times New Roman"/>
          <w:b/>
          <w:sz w:val="24"/>
          <w:szCs w:val="24"/>
        </w:rPr>
      </w:pPr>
      <w:r w:rsidRPr="00DC61DA">
        <w:rPr>
          <w:rFonts w:ascii="Times New Roman" w:eastAsiaTheme="minorHAnsi" w:hAnsi="Times New Roman"/>
          <w:b/>
          <w:i/>
          <w:sz w:val="24"/>
          <w:szCs w:val="24"/>
        </w:rPr>
        <w:t>Revenue Expenditure</w:t>
      </w:r>
    </w:p>
    <w:p w:rsidR="00F479E8" w:rsidRDefault="00CE6EA4" w:rsidP="009A101B">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impact of deterioration in revenue receipts seems to have affected revenue expenditure partially. </w:t>
      </w:r>
      <w:r w:rsidR="0060489F" w:rsidRPr="00583003">
        <w:rPr>
          <w:rFonts w:ascii="Times New Roman" w:eastAsia="Times New Roman" w:hAnsi="Times New Roman"/>
          <w:sz w:val="24"/>
          <w:szCs w:val="24"/>
        </w:rPr>
        <w:t>As percentage to the GSDP, the revenue expenditure</w:t>
      </w:r>
      <w:r>
        <w:rPr>
          <w:rFonts w:ascii="Times New Roman" w:eastAsia="Times New Roman" w:hAnsi="Times New Roman"/>
          <w:sz w:val="24"/>
          <w:szCs w:val="24"/>
        </w:rPr>
        <w:t xml:space="preserve"> has gone down </w:t>
      </w:r>
      <w:r w:rsidR="0060489F">
        <w:rPr>
          <w:rFonts w:ascii="Times New Roman" w:eastAsia="Times New Roman" w:hAnsi="Times New Roman"/>
          <w:sz w:val="24"/>
          <w:szCs w:val="24"/>
        </w:rPr>
        <w:t>from 19.51</w:t>
      </w:r>
      <w:r w:rsidR="00362499">
        <w:rPr>
          <w:rFonts w:ascii="Times New Roman" w:eastAsia="Times New Roman" w:hAnsi="Times New Roman"/>
          <w:sz w:val="24"/>
          <w:szCs w:val="24"/>
        </w:rPr>
        <w:t xml:space="preserve"> </w:t>
      </w:r>
      <w:r w:rsidR="0060489F">
        <w:rPr>
          <w:rFonts w:ascii="Times New Roman" w:eastAsia="Times New Roman" w:hAnsi="Times New Roman"/>
          <w:sz w:val="24"/>
          <w:szCs w:val="24"/>
        </w:rPr>
        <w:t>percent in 2018-19</w:t>
      </w:r>
      <w:r>
        <w:rPr>
          <w:rFonts w:ascii="Times New Roman" w:eastAsia="Times New Roman" w:hAnsi="Times New Roman"/>
          <w:sz w:val="24"/>
          <w:szCs w:val="24"/>
        </w:rPr>
        <w:t xml:space="preserve"> to 19.05 percent in 2019-20</w:t>
      </w:r>
      <w:r w:rsidR="0060489F">
        <w:rPr>
          <w:rFonts w:ascii="Times New Roman" w:eastAsia="Times New Roman" w:hAnsi="Times New Roman"/>
          <w:sz w:val="24"/>
          <w:szCs w:val="24"/>
        </w:rPr>
        <w:t xml:space="preserve">. </w:t>
      </w:r>
      <w:r>
        <w:rPr>
          <w:rFonts w:ascii="Times New Roman" w:eastAsia="Times New Roman" w:hAnsi="Times New Roman"/>
          <w:sz w:val="24"/>
          <w:szCs w:val="24"/>
        </w:rPr>
        <w:t>It is usually difficult to slash</w:t>
      </w:r>
      <w:r w:rsidR="009A101B">
        <w:rPr>
          <w:rFonts w:ascii="Times New Roman" w:eastAsia="Times New Roman" w:hAnsi="Times New Roman"/>
          <w:sz w:val="24"/>
          <w:szCs w:val="24"/>
        </w:rPr>
        <w:t xml:space="preserve"> rev</w:t>
      </w:r>
      <w:r w:rsidR="00362499">
        <w:rPr>
          <w:rFonts w:ascii="Times New Roman" w:eastAsia="Times New Roman" w:hAnsi="Times New Roman"/>
          <w:sz w:val="24"/>
          <w:szCs w:val="24"/>
        </w:rPr>
        <w:t>enue expenditure given the long-</w:t>
      </w:r>
      <w:r w:rsidR="009A101B">
        <w:rPr>
          <w:rFonts w:ascii="Times New Roman" w:eastAsia="Times New Roman" w:hAnsi="Times New Roman"/>
          <w:sz w:val="24"/>
          <w:szCs w:val="24"/>
        </w:rPr>
        <w:t>standing commitments</w:t>
      </w:r>
      <w:r w:rsidR="00F479E8">
        <w:rPr>
          <w:rFonts w:ascii="Times New Roman" w:eastAsia="Times New Roman" w:hAnsi="Times New Roman"/>
          <w:sz w:val="24"/>
          <w:szCs w:val="24"/>
        </w:rPr>
        <w:t xml:space="preserve"> both in social sector and infrastructure building. In recent years the state has been implementing ambitious scheme like providing at least </w:t>
      </w:r>
      <w:r w:rsidR="00793B8E">
        <w:rPr>
          <w:rFonts w:ascii="Times New Roman" w:eastAsia="Times New Roman" w:hAnsi="Times New Roman"/>
          <w:sz w:val="24"/>
          <w:szCs w:val="24"/>
        </w:rPr>
        <w:t xml:space="preserve">one </w:t>
      </w:r>
      <w:r w:rsidR="00F479E8">
        <w:rPr>
          <w:rFonts w:ascii="Times New Roman" w:eastAsia="Times New Roman" w:hAnsi="Times New Roman"/>
          <w:sz w:val="24"/>
          <w:szCs w:val="24"/>
        </w:rPr>
        <w:t xml:space="preserve">government jobs to each family under ‘one family one job’. These commitments makes the revenue expenditure downward rigid. </w:t>
      </w:r>
    </w:p>
    <w:p w:rsidR="00F479E8" w:rsidRDefault="00F479E8" w:rsidP="009A101B">
      <w:pPr>
        <w:autoSpaceDE w:val="0"/>
        <w:autoSpaceDN w:val="0"/>
        <w:adjustRightInd w:val="0"/>
        <w:spacing w:after="0" w:line="360" w:lineRule="auto"/>
        <w:jc w:val="both"/>
        <w:rPr>
          <w:rFonts w:ascii="Times New Roman" w:eastAsia="Times New Roman" w:hAnsi="Times New Roman"/>
          <w:sz w:val="24"/>
          <w:szCs w:val="24"/>
        </w:rPr>
      </w:pPr>
    </w:p>
    <w:p w:rsidR="009A101B" w:rsidRDefault="0060489F" w:rsidP="009A101B">
      <w:pPr>
        <w:autoSpaceDE w:val="0"/>
        <w:autoSpaceDN w:val="0"/>
        <w:adjustRightInd w:val="0"/>
        <w:spacing w:after="0" w:line="360" w:lineRule="auto"/>
        <w:jc w:val="both"/>
        <w:rPr>
          <w:rFonts w:ascii="Times New Roman" w:eastAsia="Times New Roman" w:hAnsi="Times New Roman"/>
          <w:sz w:val="24"/>
          <w:szCs w:val="24"/>
        </w:rPr>
      </w:pPr>
      <w:r w:rsidRPr="00583003">
        <w:rPr>
          <w:rFonts w:ascii="Times New Roman" w:eastAsia="Times New Roman" w:hAnsi="Times New Roman"/>
          <w:sz w:val="24"/>
          <w:szCs w:val="24"/>
        </w:rPr>
        <w:t xml:space="preserve">The annual average growth rate of revenue expenditure in </w:t>
      </w:r>
      <w:r>
        <w:rPr>
          <w:rFonts w:ascii="Times New Roman" w:eastAsia="Times New Roman" w:hAnsi="Times New Roman"/>
          <w:sz w:val="24"/>
          <w:szCs w:val="24"/>
        </w:rPr>
        <w:t>Sikkim</w:t>
      </w:r>
      <w:r w:rsidRPr="00583003">
        <w:rPr>
          <w:rFonts w:ascii="Times New Roman" w:eastAsia="Times New Roman" w:hAnsi="Times New Roman"/>
          <w:sz w:val="24"/>
          <w:szCs w:val="24"/>
        </w:rPr>
        <w:t>, during</w:t>
      </w:r>
      <w:r>
        <w:rPr>
          <w:rFonts w:ascii="Times New Roman" w:eastAsia="Times New Roman" w:hAnsi="Times New Roman"/>
          <w:sz w:val="24"/>
          <w:szCs w:val="24"/>
        </w:rPr>
        <w:t xml:space="preserve"> the period </w:t>
      </w:r>
      <w:r w:rsidRPr="00583003">
        <w:rPr>
          <w:rFonts w:ascii="Times New Roman" w:eastAsia="Times New Roman" w:hAnsi="Times New Roman"/>
          <w:sz w:val="24"/>
          <w:szCs w:val="24"/>
        </w:rPr>
        <w:t>2011-12 to 201</w:t>
      </w:r>
      <w:r w:rsidR="009A101B">
        <w:rPr>
          <w:rFonts w:ascii="Times New Roman" w:eastAsia="Times New Roman" w:hAnsi="Times New Roman"/>
          <w:sz w:val="24"/>
          <w:szCs w:val="24"/>
        </w:rPr>
        <w:t>9</w:t>
      </w:r>
      <w:r>
        <w:rPr>
          <w:rFonts w:ascii="Times New Roman" w:eastAsia="Times New Roman" w:hAnsi="Times New Roman"/>
          <w:sz w:val="24"/>
          <w:szCs w:val="24"/>
        </w:rPr>
        <w:t>-</w:t>
      </w:r>
      <w:r w:rsidR="009A101B">
        <w:rPr>
          <w:rFonts w:ascii="Times New Roman" w:eastAsia="Times New Roman" w:hAnsi="Times New Roman"/>
          <w:sz w:val="24"/>
          <w:szCs w:val="24"/>
        </w:rPr>
        <w:t>20</w:t>
      </w:r>
      <w:r w:rsidRPr="00583003">
        <w:rPr>
          <w:rFonts w:ascii="Times New Roman" w:eastAsia="Times New Roman" w:hAnsi="Times New Roman"/>
          <w:sz w:val="24"/>
          <w:szCs w:val="24"/>
        </w:rPr>
        <w:t xml:space="preserve">, was </w:t>
      </w:r>
      <w:r>
        <w:rPr>
          <w:rFonts w:ascii="Times New Roman" w:eastAsia="Times New Roman" w:hAnsi="Times New Roman"/>
          <w:sz w:val="24"/>
          <w:szCs w:val="24"/>
        </w:rPr>
        <w:t>1</w:t>
      </w:r>
      <w:r w:rsidR="009A101B">
        <w:rPr>
          <w:rFonts w:ascii="Times New Roman" w:eastAsia="Times New Roman" w:hAnsi="Times New Roman"/>
          <w:sz w:val="24"/>
          <w:szCs w:val="24"/>
        </w:rPr>
        <w:t>3.35</w:t>
      </w:r>
      <w:r w:rsidRPr="00583003">
        <w:rPr>
          <w:rFonts w:ascii="Times New Roman" w:eastAsia="Times New Roman" w:hAnsi="Times New Roman"/>
          <w:sz w:val="24"/>
          <w:szCs w:val="24"/>
        </w:rPr>
        <w:t xml:space="preserve"> percent. </w:t>
      </w:r>
      <w:r>
        <w:rPr>
          <w:rFonts w:ascii="Times New Roman" w:eastAsia="Times New Roman" w:hAnsi="Times New Roman"/>
          <w:sz w:val="24"/>
          <w:szCs w:val="24"/>
        </w:rPr>
        <w:t xml:space="preserve">The revenue expenditure grew at the rate of </w:t>
      </w:r>
      <w:r w:rsidR="009A101B">
        <w:rPr>
          <w:rFonts w:ascii="Times New Roman" w:eastAsia="Times New Roman" w:hAnsi="Times New Roman"/>
          <w:sz w:val="24"/>
          <w:szCs w:val="24"/>
        </w:rPr>
        <w:t>18.35</w:t>
      </w:r>
      <w:r>
        <w:rPr>
          <w:rFonts w:ascii="Times New Roman" w:eastAsia="Times New Roman" w:hAnsi="Times New Roman"/>
          <w:sz w:val="24"/>
          <w:szCs w:val="24"/>
        </w:rPr>
        <w:t xml:space="preserve"> percent in 201</w:t>
      </w:r>
      <w:r w:rsidR="009A101B">
        <w:rPr>
          <w:rFonts w:ascii="Times New Roman" w:eastAsia="Times New Roman" w:hAnsi="Times New Roman"/>
          <w:sz w:val="24"/>
          <w:szCs w:val="24"/>
        </w:rPr>
        <w:t>9-20</w:t>
      </w:r>
      <w:r>
        <w:rPr>
          <w:rFonts w:ascii="Times New Roman" w:eastAsia="Times New Roman" w:hAnsi="Times New Roman"/>
          <w:sz w:val="24"/>
          <w:szCs w:val="24"/>
        </w:rPr>
        <w:t xml:space="preserve"> over a</w:t>
      </w:r>
      <w:r w:rsidR="009A101B">
        <w:rPr>
          <w:rFonts w:ascii="Times New Roman" w:eastAsia="Times New Roman" w:hAnsi="Times New Roman"/>
          <w:sz w:val="24"/>
          <w:szCs w:val="24"/>
        </w:rPr>
        <w:t xml:space="preserve"> very high </w:t>
      </w:r>
      <w:r>
        <w:rPr>
          <w:rFonts w:ascii="Times New Roman" w:eastAsia="Times New Roman" w:hAnsi="Times New Roman"/>
          <w:sz w:val="24"/>
          <w:szCs w:val="24"/>
        </w:rPr>
        <w:t xml:space="preserve">growth of </w:t>
      </w:r>
      <w:r w:rsidR="009A101B">
        <w:rPr>
          <w:rFonts w:ascii="Times New Roman" w:eastAsia="Times New Roman" w:hAnsi="Times New Roman"/>
          <w:sz w:val="24"/>
          <w:szCs w:val="24"/>
        </w:rPr>
        <w:t>25.89</w:t>
      </w:r>
      <w:r>
        <w:rPr>
          <w:rFonts w:ascii="Times New Roman" w:eastAsia="Times New Roman" w:hAnsi="Times New Roman"/>
          <w:sz w:val="24"/>
          <w:szCs w:val="24"/>
        </w:rPr>
        <w:t xml:space="preserve"> </w:t>
      </w:r>
      <w:r w:rsidR="009A101B">
        <w:rPr>
          <w:rFonts w:ascii="Times New Roman" w:eastAsia="Times New Roman" w:hAnsi="Times New Roman"/>
          <w:sz w:val="24"/>
          <w:szCs w:val="24"/>
        </w:rPr>
        <w:t xml:space="preserve">percent witnessed </w:t>
      </w:r>
      <w:r>
        <w:rPr>
          <w:rFonts w:ascii="Times New Roman" w:eastAsia="Times New Roman" w:hAnsi="Times New Roman"/>
          <w:sz w:val="24"/>
          <w:szCs w:val="24"/>
        </w:rPr>
        <w:t xml:space="preserve">in the previous year. </w:t>
      </w:r>
      <w:r w:rsidR="009A101B">
        <w:rPr>
          <w:rFonts w:ascii="Times New Roman" w:eastAsia="Times New Roman" w:hAnsi="Times New Roman"/>
          <w:sz w:val="24"/>
          <w:szCs w:val="24"/>
        </w:rPr>
        <w:t xml:space="preserve">Despite some control over growth rate, its </w:t>
      </w:r>
      <w:r>
        <w:rPr>
          <w:rFonts w:ascii="Times New Roman" w:eastAsia="Times New Roman" w:hAnsi="Times New Roman"/>
          <w:sz w:val="24"/>
          <w:szCs w:val="24"/>
        </w:rPr>
        <w:t xml:space="preserve">relative share </w:t>
      </w:r>
      <w:r w:rsidR="009A101B">
        <w:rPr>
          <w:rFonts w:ascii="Times New Roman" w:eastAsia="Times New Roman" w:hAnsi="Times New Roman"/>
          <w:sz w:val="24"/>
          <w:szCs w:val="24"/>
        </w:rPr>
        <w:t xml:space="preserve">increased in </w:t>
      </w:r>
      <w:r>
        <w:rPr>
          <w:rFonts w:ascii="Times New Roman" w:eastAsia="Times New Roman" w:hAnsi="Times New Roman"/>
          <w:sz w:val="24"/>
          <w:szCs w:val="24"/>
        </w:rPr>
        <w:t>201</w:t>
      </w:r>
      <w:r w:rsidR="009A101B">
        <w:rPr>
          <w:rFonts w:ascii="Times New Roman" w:eastAsia="Times New Roman" w:hAnsi="Times New Roman"/>
          <w:sz w:val="24"/>
          <w:szCs w:val="24"/>
        </w:rPr>
        <w:t xml:space="preserve">9-20 as capital outlay was reduced at a higher rate. </w:t>
      </w:r>
    </w:p>
    <w:p w:rsidR="00153673" w:rsidRDefault="00153673" w:rsidP="009A101B">
      <w:pPr>
        <w:autoSpaceDE w:val="0"/>
        <w:autoSpaceDN w:val="0"/>
        <w:adjustRightInd w:val="0"/>
        <w:spacing w:after="0" w:line="360" w:lineRule="auto"/>
        <w:jc w:val="both"/>
        <w:rPr>
          <w:rFonts w:ascii="Times New Roman" w:eastAsia="Times New Roman" w:hAnsi="Times New Roman"/>
          <w:sz w:val="24"/>
          <w:szCs w:val="24"/>
        </w:rPr>
      </w:pPr>
    </w:p>
    <w:p w:rsidR="00E02CFE" w:rsidRDefault="00E02CFE" w:rsidP="00E02CFE">
      <w:pPr>
        <w:spacing w:line="360" w:lineRule="auto"/>
        <w:jc w:val="both"/>
        <w:rPr>
          <w:rFonts w:ascii="Times New Roman" w:eastAsia="Times New Roman" w:hAnsi="Times New Roman"/>
          <w:sz w:val="24"/>
          <w:szCs w:val="24"/>
        </w:rPr>
      </w:pPr>
      <w:r w:rsidRPr="00E02CFE">
        <w:rPr>
          <w:rFonts w:ascii="Times New Roman" w:eastAsia="Times New Roman" w:hAnsi="Times New Roman"/>
          <w:sz w:val="24"/>
          <w:szCs w:val="24"/>
        </w:rPr>
        <w:t>Broad composition of government expenditure in terms of revenue and capital expenditure classification reflects distribution of expenditure across sectors and to a certain extent shows the priorities depending on availability of aggregate revenue. Revenue expenditure, taking average of relative share during 2011-12 to 201</w:t>
      </w:r>
      <w:r w:rsidR="0004649E">
        <w:rPr>
          <w:rFonts w:ascii="Times New Roman" w:eastAsia="Times New Roman" w:hAnsi="Times New Roman"/>
          <w:sz w:val="24"/>
          <w:szCs w:val="24"/>
        </w:rPr>
        <w:t>9</w:t>
      </w:r>
      <w:r w:rsidRPr="00E02CFE">
        <w:rPr>
          <w:rFonts w:ascii="Times New Roman" w:eastAsia="Times New Roman" w:hAnsi="Times New Roman"/>
          <w:sz w:val="24"/>
          <w:szCs w:val="24"/>
        </w:rPr>
        <w:t>-</w:t>
      </w:r>
      <w:r w:rsidR="0004649E">
        <w:rPr>
          <w:rFonts w:ascii="Times New Roman" w:eastAsia="Times New Roman" w:hAnsi="Times New Roman"/>
          <w:sz w:val="24"/>
          <w:szCs w:val="24"/>
        </w:rPr>
        <w:t>20</w:t>
      </w:r>
      <w:r w:rsidRPr="00E02CFE">
        <w:rPr>
          <w:rFonts w:ascii="Times New Roman" w:eastAsia="Times New Roman" w:hAnsi="Times New Roman"/>
          <w:sz w:val="24"/>
          <w:szCs w:val="24"/>
        </w:rPr>
        <w:t xml:space="preserve">, constitutes about </w:t>
      </w:r>
      <w:r w:rsidR="0004649E">
        <w:rPr>
          <w:rFonts w:ascii="Times New Roman" w:eastAsia="Times New Roman" w:hAnsi="Times New Roman"/>
          <w:sz w:val="24"/>
          <w:szCs w:val="24"/>
        </w:rPr>
        <w:t>80</w:t>
      </w:r>
      <w:r w:rsidRPr="00E02CFE">
        <w:rPr>
          <w:rFonts w:ascii="Times New Roman" w:eastAsia="Times New Roman" w:hAnsi="Times New Roman"/>
          <w:sz w:val="24"/>
          <w:szCs w:val="24"/>
        </w:rPr>
        <w:t xml:space="preserve"> percent of total </w:t>
      </w:r>
      <w:r w:rsidRPr="003570ED">
        <w:rPr>
          <w:rFonts w:ascii="Times New Roman" w:eastAsia="Times New Roman" w:hAnsi="Times New Roman"/>
          <w:sz w:val="24"/>
          <w:szCs w:val="24"/>
        </w:rPr>
        <w:t>expenditure (Table 3.</w:t>
      </w:r>
      <w:r w:rsidR="003570ED" w:rsidRPr="003570ED">
        <w:rPr>
          <w:rFonts w:ascii="Times New Roman" w:eastAsia="Times New Roman" w:hAnsi="Times New Roman"/>
          <w:sz w:val="24"/>
          <w:szCs w:val="24"/>
        </w:rPr>
        <w:t>3</w:t>
      </w:r>
      <w:r w:rsidRPr="003570ED">
        <w:rPr>
          <w:rFonts w:ascii="Times New Roman" w:eastAsia="Times New Roman" w:hAnsi="Times New Roman"/>
          <w:sz w:val="24"/>
          <w:szCs w:val="24"/>
        </w:rPr>
        <w:t>). As</w:t>
      </w:r>
      <w:r w:rsidRPr="00E02CFE">
        <w:rPr>
          <w:rFonts w:ascii="Times New Roman" w:eastAsia="Times New Roman" w:hAnsi="Times New Roman"/>
          <w:sz w:val="24"/>
          <w:szCs w:val="24"/>
        </w:rPr>
        <w:t xml:space="preserve"> revenue expenditure contains large portion of committed spending, this is most likely to be met from the consolidated fund. Despite the pressure and demand for increasing this type of spending, the Government of </w:t>
      </w:r>
      <w:r>
        <w:rPr>
          <w:rFonts w:ascii="Times New Roman" w:eastAsia="Times New Roman" w:hAnsi="Times New Roman"/>
          <w:sz w:val="24"/>
          <w:szCs w:val="24"/>
        </w:rPr>
        <w:t>Sikkim</w:t>
      </w:r>
      <w:r w:rsidRPr="00E02CFE">
        <w:rPr>
          <w:rFonts w:ascii="Times New Roman" w:eastAsia="Times New Roman" w:hAnsi="Times New Roman"/>
          <w:sz w:val="24"/>
          <w:szCs w:val="24"/>
        </w:rPr>
        <w:t>, have contained the growth of revenue expenditure over the years. While the relative share of revenue expenditure was rising since 2011-12, a declining trend has been witnessed</w:t>
      </w:r>
      <w:r w:rsidR="003570ED">
        <w:rPr>
          <w:rFonts w:ascii="Times New Roman" w:eastAsia="Times New Roman" w:hAnsi="Times New Roman"/>
          <w:sz w:val="24"/>
          <w:szCs w:val="24"/>
        </w:rPr>
        <w:t xml:space="preserve"> after 2015-16</w:t>
      </w:r>
      <w:r w:rsidRPr="00E02CFE">
        <w:rPr>
          <w:rFonts w:ascii="Times New Roman" w:eastAsia="Times New Roman" w:hAnsi="Times New Roman"/>
          <w:sz w:val="24"/>
          <w:szCs w:val="24"/>
        </w:rPr>
        <w:t xml:space="preserve">. </w:t>
      </w:r>
      <w:r>
        <w:rPr>
          <w:rFonts w:ascii="Times New Roman" w:eastAsia="Times New Roman" w:hAnsi="Times New Roman"/>
          <w:sz w:val="24"/>
          <w:szCs w:val="24"/>
        </w:rPr>
        <w:t xml:space="preserve">In fiscal year 2018-19, the </w:t>
      </w:r>
      <w:r>
        <w:rPr>
          <w:rFonts w:ascii="Times New Roman" w:eastAsia="Times New Roman" w:hAnsi="Times New Roman"/>
          <w:sz w:val="24"/>
          <w:szCs w:val="24"/>
        </w:rPr>
        <w:lastRenderedPageBreak/>
        <w:t xml:space="preserve">relative share of revenue expenditure, however has increased to 80.19 percent as compared to 73.37 percent in the previous year. </w:t>
      </w:r>
      <w:r w:rsidR="00105657">
        <w:rPr>
          <w:rFonts w:ascii="Times New Roman" w:eastAsia="Times New Roman" w:hAnsi="Times New Roman"/>
          <w:sz w:val="24"/>
          <w:szCs w:val="24"/>
        </w:rPr>
        <w:t xml:space="preserve">This share has further increased to 89.56 percent in 2019-20 due to decline in capital expenditure. </w:t>
      </w:r>
      <w:r w:rsidR="003570ED">
        <w:rPr>
          <w:rFonts w:ascii="Times New Roman" w:eastAsia="Times New Roman" w:hAnsi="Times New Roman"/>
          <w:sz w:val="24"/>
          <w:szCs w:val="24"/>
        </w:rPr>
        <w:t xml:space="preserve">This trend does not </w:t>
      </w:r>
      <w:r w:rsidRPr="00E02CFE">
        <w:rPr>
          <w:rFonts w:ascii="Times New Roman" w:eastAsia="Times New Roman" w:hAnsi="Times New Roman"/>
          <w:sz w:val="24"/>
          <w:szCs w:val="24"/>
        </w:rPr>
        <w:t xml:space="preserve">reflects favorably on quality of expenditure. </w:t>
      </w:r>
    </w:p>
    <w:p w:rsidR="00E02CFE" w:rsidRPr="00E02CFE" w:rsidRDefault="00E02CFE" w:rsidP="00E02CFE">
      <w:pPr>
        <w:spacing w:after="0" w:line="240" w:lineRule="auto"/>
        <w:jc w:val="center"/>
        <w:rPr>
          <w:rFonts w:ascii="Times New Roman" w:eastAsia="Times New Roman" w:hAnsi="Times New Roman"/>
          <w:b/>
        </w:rPr>
      </w:pPr>
      <w:r w:rsidRPr="003570ED">
        <w:rPr>
          <w:rFonts w:ascii="Times New Roman" w:eastAsia="Times New Roman" w:hAnsi="Times New Roman"/>
          <w:b/>
        </w:rPr>
        <w:t xml:space="preserve">Table </w:t>
      </w:r>
      <w:r w:rsidR="003570ED" w:rsidRPr="003570ED">
        <w:rPr>
          <w:rFonts w:ascii="Times New Roman" w:eastAsia="Times New Roman" w:hAnsi="Times New Roman"/>
          <w:b/>
        </w:rPr>
        <w:t>3.3</w:t>
      </w:r>
      <w:r w:rsidR="00362499">
        <w:rPr>
          <w:rFonts w:ascii="Times New Roman" w:eastAsia="Times New Roman" w:hAnsi="Times New Roman"/>
          <w:b/>
        </w:rPr>
        <w:t xml:space="preserve">: </w:t>
      </w:r>
      <w:r w:rsidRPr="00E02CFE">
        <w:rPr>
          <w:rFonts w:ascii="Times New Roman" w:eastAsia="Times New Roman" w:hAnsi="Times New Roman"/>
          <w:b/>
        </w:rPr>
        <w:t>Relative Share of Revenue and Capital Expenditure</w:t>
      </w:r>
    </w:p>
    <w:p w:rsidR="00E02CFE" w:rsidRPr="00362499" w:rsidRDefault="00E02CFE" w:rsidP="00E02CFE">
      <w:pPr>
        <w:spacing w:after="0" w:line="240" w:lineRule="auto"/>
        <w:jc w:val="right"/>
        <w:rPr>
          <w:rFonts w:ascii="Times New Roman" w:eastAsiaTheme="minorHAnsi" w:hAnsi="Times New Roman"/>
          <w:b/>
          <w:i/>
        </w:rPr>
      </w:pPr>
      <w:r w:rsidRPr="00362499">
        <w:rPr>
          <w:rFonts w:ascii="Times New Roman" w:eastAsiaTheme="minorHAnsi" w:hAnsi="Times New Roman"/>
          <w:b/>
          <w:i/>
        </w:rPr>
        <w:t>(Percent)</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50"/>
        <w:gridCol w:w="711"/>
        <w:gridCol w:w="711"/>
        <w:gridCol w:w="853"/>
        <w:gridCol w:w="746"/>
        <w:gridCol w:w="817"/>
        <w:gridCol w:w="799"/>
        <w:gridCol w:w="808"/>
        <w:gridCol w:w="793"/>
      </w:tblGrid>
      <w:tr w:rsidR="005A7BD7" w:rsidRPr="00E02CFE" w:rsidTr="00C713BA">
        <w:trPr>
          <w:trHeight w:val="341"/>
        </w:trPr>
        <w:tc>
          <w:tcPr>
            <w:tcW w:w="1094" w:type="pct"/>
            <w:shd w:val="clear" w:color="auto" w:fill="auto"/>
            <w:noWrap/>
            <w:vAlign w:val="bottom"/>
            <w:hideMark/>
          </w:tcPr>
          <w:p w:rsidR="0004649E" w:rsidRPr="00E02CFE" w:rsidRDefault="0004649E" w:rsidP="00362499">
            <w:pPr>
              <w:spacing w:after="0" w:line="240" w:lineRule="auto"/>
              <w:rPr>
                <w:rFonts w:ascii="Times New Roman" w:eastAsia="Times New Roman" w:hAnsi="Times New Roman"/>
                <w:b/>
                <w:bCs/>
                <w:color w:val="000000"/>
                <w:sz w:val="20"/>
                <w:szCs w:val="20"/>
              </w:rPr>
            </w:pPr>
            <w:r w:rsidRPr="00E02CFE">
              <w:rPr>
                <w:rFonts w:ascii="Times New Roman" w:eastAsia="Times New Roman" w:hAnsi="Times New Roman"/>
                <w:b/>
                <w:bCs/>
                <w:color w:val="000000"/>
                <w:sz w:val="20"/>
                <w:szCs w:val="20"/>
              </w:rPr>
              <w:t>Heads</w:t>
            </w:r>
          </w:p>
        </w:tc>
        <w:tc>
          <w:tcPr>
            <w:tcW w:w="468"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color w:val="000000"/>
                <w:sz w:val="20"/>
                <w:szCs w:val="20"/>
              </w:rPr>
            </w:pPr>
            <w:r w:rsidRPr="00E02CFE">
              <w:rPr>
                <w:rFonts w:ascii="Times New Roman" w:eastAsia="Times New Roman" w:hAnsi="Times New Roman"/>
                <w:b/>
                <w:bCs/>
                <w:color w:val="000000"/>
                <w:sz w:val="20"/>
                <w:szCs w:val="20"/>
              </w:rPr>
              <w:t>2011-12</w:t>
            </w:r>
          </w:p>
        </w:tc>
        <w:tc>
          <w:tcPr>
            <w:tcW w:w="392"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color w:val="000000"/>
                <w:sz w:val="20"/>
                <w:szCs w:val="20"/>
              </w:rPr>
            </w:pPr>
            <w:r w:rsidRPr="00E02CFE">
              <w:rPr>
                <w:rFonts w:ascii="Times New Roman" w:eastAsia="Times New Roman" w:hAnsi="Times New Roman"/>
                <w:b/>
                <w:bCs/>
                <w:color w:val="000000"/>
                <w:sz w:val="20"/>
                <w:szCs w:val="20"/>
              </w:rPr>
              <w:t>2012-13</w:t>
            </w:r>
          </w:p>
        </w:tc>
        <w:tc>
          <w:tcPr>
            <w:tcW w:w="392"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color w:val="000000"/>
                <w:sz w:val="20"/>
                <w:szCs w:val="20"/>
              </w:rPr>
            </w:pPr>
            <w:r w:rsidRPr="00E02CFE">
              <w:rPr>
                <w:rFonts w:ascii="Times New Roman" w:eastAsia="Times New Roman" w:hAnsi="Times New Roman"/>
                <w:b/>
                <w:bCs/>
                <w:color w:val="000000"/>
                <w:sz w:val="20"/>
                <w:szCs w:val="20"/>
              </w:rPr>
              <w:t>2013-14</w:t>
            </w:r>
          </w:p>
        </w:tc>
        <w:tc>
          <w:tcPr>
            <w:tcW w:w="470"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color w:val="000000"/>
                <w:sz w:val="20"/>
                <w:szCs w:val="20"/>
              </w:rPr>
            </w:pPr>
            <w:r w:rsidRPr="00E02CFE">
              <w:rPr>
                <w:rFonts w:ascii="Times New Roman" w:eastAsia="Times New Roman" w:hAnsi="Times New Roman"/>
                <w:b/>
                <w:bCs/>
                <w:color w:val="000000"/>
                <w:sz w:val="20"/>
                <w:szCs w:val="20"/>
              </w:rPr>
              <w:t>2014-15</w:t>
            </w:r>
          </w:p>
        </w:tc>
        <w:tc>
          <w:tcPr>
            <w:tcW w:w="411"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sz w:val="20"/>
                <w:szCs w:val="20"/>
              </w:rPr>
            </w:pPr>
            <w:r w:rsidRPr="00E02CFE">
              <w:rPr>
                <w:rFonts w:ascii="Times New Roman" w:eastAsia="Times New Roman" w:hAnsi="Times New Roman"/>
                <w:b/>
                <w:bCs/>
                <w:sz w:val="20"/>
                <w:szCs w:val="20"/>
              </w:rPr>
              <w:t>2015-16</w:t>
            </w:r>
          </w:p>
        </w:tc>
        <w:tc>
          <w:tcPr>
            <w:tcW w:w="450"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sz w:val="20"/>
                <w:szCs w:val="20"/>
              </w:rPr>
            </w:pPr>
            <w:r w:rsidRPr="00E02CFE">
              <w:rPr>
                <w:rFonts w:ascii="Times New Roman" w:eastAsia="Times New Roman" w:hAnsi="Times New Roman"/>
                <w:b/>
                <w:bCs/>
                <w:sz w:val="20"/>
                <w:szCs w:val="20"/>
              </w:rPr>
              <w:t>2016-17</w:t>
            </w:r>
          </w:p>
        </w:tc>
        <w:tc>
          <w:tcPr>
            <w:tcW w:w="440"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color w:val="000000"/>
                <w:sz w:val="20"/>
                <w:szCs w:val="20"/>
              </w:rPr>
            </w:pPr>
            <w:r w:rsidRPr="00E02CFE">
              <w:rPr>
                <w:rFonts w:ascii="Times New Roman" w:eastAsia="Times New Roman" w:hAnsi="Times New Roman"/>
                <w:b/>
                <w:bCs/>
                <w:color w:val="000000"/>
                <w:sz w:val="20"/>
                <w:szCs w:val="20"/>
              </w:rPr>
              <w:t>2017-18</w:t>
            </w:r>
          </w:p>
        </w:tc>
        <w:tc>
          <w:tcPr>
            <w:tcW w:w="445" w:type="pct"/>
            <w:shd w:val="clear" w:color="auto" w:fill="auto"/>
            <w:noWrap/>
            <w:vAlign w:val="bottom"/>
            <w:hideMark/>
          </w:tcPr>
          <w:p w:rsidR="0004649E" w:rsidRPr="00E02CFE" w:rsidRDefault="0004649E" w:rsidP="00362499">
            <w:pPr>
              <w:spacing w:after="0" w:line="240" w:lineRule="auto"/>
              <w:jc w:val="center"/>
              <w:rPr>
                <w:rFonts w:ascii="Times New Roman" w:eastAsia="Times New Roman" w:hAnsi="Times New Roman"/>
                <w:b/>
                <w:bCs/>
                <w:color w:val="000000"/>
                <w:sz w:val="20"/>
                <w:szCs w:val="20"/>
              </w:rPr>
            </w:pPr>
            <w:r w:rsidRPr="00E02CFE">
              <w:rPr>
                <w:rFonts w:ascii="Times New Roman" w:eastAsia="Times New Roman" w:hAnsi="Times New Roman"/>
                <w:b/>
                <w:bCs/>
                <w:color w:val="000000"/>
                <w:sz w:val="20"/>
                <w:szCs w:val="20"/>
              </w:rPr>
              <w:t>2018-19</w:t>
            </w:r>
          </w:p>
        </w:tc>
        <w:tc>
          <w:tcPr>
            <w:tcW w:w="437" w:type="pct"/>
            <w:vAlign w:val="bottom"/>
          </w:tcPr>
          <w:p w:rsidR="0004649E" w:rsidRPr="00E02CFE" w:rsidRDefault="0004649E" w:rsidP="00362499">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2019-20</w:t>
            </w:r>
          </w:p>
        </w:tc>
      </w:tr>
      <w:tr w:rsidR="005A7BD7" w:rsidRPr="00E02CFE" w:rsidTr="00C713BA">
        <w:trPr>
          <w:trHeight w:val="524"/>
        </w:trPr>
        <w:tc>
          <w:tcPr>
            <w:tcW w:w="1094" w:type="pct"/>
            <w:shd w:val="clear" w:color="auto" w:fill="auto"/>
            <w:noWrap/>
            <w:vAlign w:val="bottom"/>
            <w:hideMark/>
          </w:tcPr>
          <w:p w:rsidR="0004649E" w:rsidRPr="00E02CFE" w:rsidRDefault="0004649E" w:rsidP="0004649E">
            <w:pPr>
              <w:spacing w:after="0" w:line="240" w:lineRule="auto"/>
              <w:rPr>
                <w:rFonts w:ascii="Times New Roman" w:eastAsia="Times New Roman" w:hAnsi="Times New Roman"/>
                <w:color w:val="000000"/>
                <w:sz w:val="20"/>
                <w:szCs w:val="20"/>
              </w:rPr>
            </w:pPr>
            <w:r w:rsidRPr="00E02CFE">
              <w:rPr>
                <w:rFonts w:ascii="Times New Roman" w:eastAsia="Times New Roman" w:hAnsi="Times New Roman"/>
                <w:color w:val="000000"/>
                <w:sz w:val="20"/>
                <w:szCs w:val="20"/>
              </w:rPr>
              <w:t>Revenue Expenditure</w:t>
            </w:r>
          </w:p>
        </w:tc>
        <w:tc>
          <w:tcPr>
            <w:tcW w:w="468"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79.78</w:t>
            </w:r>
          </w:p>
        </w:tc>
        <w:tc>
          <w:tcPr>
            <w:tcW w:w="392"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74.85</w:t>
            </w:r>
          </w:p>
        </w:tc>
        <w:tc>
          <w:tcPr>
            <w:tcW w:w="392"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76.84</w:t>
            </w:r>
          </w:p>
        </w:tc>
        <w:tc>
          <w:tcPr>
            <w:tcW w:w="470"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77.39</w:t>
            </w:r>
          </w:p>
        </w:tc>
        <w:tc>
          <w:tcPr>
            <w:tcW w:w="411"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85.18</w:t>
            </w:r>
          </w:p>
        </w:tc>
        <w:tc>
          <w:tcPr>
            <w:tcW w:w="450"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84.02</w:t>
            </w:r>
          </w:p>
        </w:tc>
        <w:tc>
          <w:tcPr>
            <w:tcW w:w="440"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73.37</w:t>
            </w:r>
          </w:p>
        </w:tc>
        <w:tc>
          <w:tcPr>
            <w:tcW w:w="445" w:type="pct"/>
            <w:shd w:val="clear" w:color="auto" w:fill="auto"/>
            <w:noWrap/>
            <w:vAlign w:val="bottom"/>
          </w:tcPr>
          <w:p w:rsidR="0004649E" w:rsidRPr="00E02CFE" w:rsidRDefault="0004649E" w:rsidP="0004649E">
            <w:pPr>
              <w:spacing w:after="0" w:line="240" w:lineRule="auto"/>
              <w:jc w:val="center"/>
              <w:rPr>
                <w:rFonts w:ascii="Times New Roman" w:hAnsi="Times New Roman"/>
                <w:sz w:val="20"/>
                <w:szCs w:val="20"/>
              </w:rPr>
            </w:pPr>
            <w:r w:rsidRPr="00E02CFE">
              <w:rPr>
                <w:rFonts w:ascii="Times New Roman" w:hAnsi="Times New Roman"/>
                <w:sz w:val="20"/>
                <w:szCs w:val="20"/>
              </w:rPr>
              <w:t>80.19</w:t>
            </w:r>
          </w:p>
        </w:tc>
        <w:tc>
          <w:tcPr>
            <w:tcW w:w="437" w:type="pct"/>
            <w:vAlign w:val="bottom"/>
          </w:tcPr>
          <w:p w:rsidR="0004649E" w:rsidRPr="00E02CFE" w:rsidRDefault="0004649E" w:rsidP="0004649E">
            <w:pPr>
              <w:spacing w:after="0" w:line="240" w:lineRule="auto"/>
              <w:jc w:val="center"/>
              <w:rPr>
                <w:rFonts w:ascii="Times New Roman" w:hAnsi="Times New Roman"/>
                <w:sz w:val="20"/>
                <w:szCs w:val="20"/>
              </w:rPr>
            </w:pPr>
            <w:r>
              <w:rPr>
                <w:rFonts w:ascii="Times New Roman" w:hAnsi="Times New Roman"/>
                <w:sz w:val="20"/>
                <w:szCs w:val="20"/>
              </w:rPr>
              <w:t>89.56</w:t>
            </w:r>
          </w:p>
        </w:tc>
      </w:tr>
      <w:tr w:rsidR="005A7BD7" w:rsidRPr="00E02CFE" w:rsidTr="00C713BA">
        <w:trPr>
          <w:trHeight w:val="480"/>
        </w:trPr>
        <w:tc>
          <w:tcPr>
            <w:tcW w:w="1094" w:type="pct"/>
            <w:shd w:val="clear" w:color="auto" w:fill="auto"/>
            <w:noWrap/>
            <w:vAlign w:val="bottom"/>
            <w:hideMark/>
          </w:tcPr>
          <w:p w:rsidR="0004649E" w:rsidRPr="00E02CFE" w:rsidRDefault="0004649E" w:rsidP="00C713BA">
            <w:pPr>
              <w:spacing w:after="0" w:line="240" w:lineRule="auto"/>
              <w:rPr>
                <w:rFonts w:ascii="Times New Roman" w:eastAsia="Times New Roman" w:hAnsi="Times New Roman"/>
                <w:color w:val="000000"/>
                <w:sz w:val="20"/>
                <w:szCs w:val="20"/>
              </w:rPr>
            </w:pPr>
            <w:r w:rsidRPr="00E02CFE">
              <w:rPr>
                <w:rFonts w:ascii="Times New Roman" w:eastAsia="Times New Roman" w:hAnsi="Times New Roman"/>
                <w:color w:val="000000"/>
                <w:sz w:val="20"/>
                <w:szCs w:val="20"/>
              </w:rPr>
              <w:t>Capital Expenditure</w:t>
            </w:r>
          </w:p>
        </w:tc>
        <w:tc>
          <w:tcPr>
            <w:tcW w:w="468"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20.22</w:t>
            </w:r>
          </w:p>
        </w:tc>
        <w:tc>
          <w:tcPr>
            <w:tcW w:w="392"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25.15</w:t>
            </w:r>
          </w:p>
        </w:tc>
        <w:tc>
          <w:tcPr>
            <w:tcW w:w="392"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23.16</w:t>
            </w:r>
          </w:p>
        </w:tc>
        <w:tc>
          <w:tcPr>
            <w:tcW w:w="470"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22.61</w:t>
            </w:r>
          </w:p>
        </w:tc>
        <w:tc>
          <w:tcPr>
            <w:tcW w:w="411"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14.82</w:t>
            </w:r>
          </w:p>
        </w:tc>
        <w:tc>
          <w:tcPr>
            <w:tcW w:w="450"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15.98</w:t>
            </w:r>
          </w:p>
        </w:tc>
        <w:tc>
          <w:tcPr>
            <w:tcW w:w="440"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26.63</w:t>
            </w:r>
          </w:p>
        </w:tc>
        <w:tc>
          <w:tcPr>
            <w:tcW w:w="445" w:type="pct"/>
            <w:shd w:val="clear" w:color="auto" w:fill="auto"/>
            <w:noWrap/>
            <w:vAlign w:val="bottom"/>
          </w:tcPr>
          <w:p w:rsidR="0004649E" w:rsidRPr="00E02CFE" w:rsidRDefault="0004649E" w:rsidP="00C713BA">
            <w:pPr>
              <w:spacing w:after="0" w:line="240" w:lineRule="auto"/>
              <w:jc w:val="center"/>
              <w:rPr>
                <w:rFonts w:ascii="Times New Roman" w:hAnsi="Times New Roman"/>
                <w:sz w:val="20"/>
                <w:szCs w:val="20"/>
              </w:rPr>
            </w:pPr>
            <w:r w:rsidRPr="00E02CFE">
              <w:rPr>
                <w:rFonts w:ascii="Times New Roman" w:hAnsi="Times New Roman"/>
                <w:sz w:val="20"/>
                <w:szCs w:val="20"/>
              </w:rPr>
              <w:t>19.81</w:t>
            </w:r>
          </w:p>
        </w:tc>
        <w:tc>
          <w:tcPr>
            <w:tcW w:w="437" w:type="pct"/>
            <w:vAlign w:val="bottom"/>
          </w:tcPr>
          <w:p w:rsidR="0004649E" w:rsidRPr="00E02CFE" w:rsidRDefault="0004649E" w:rsidP="00C713BA">
            <w:pPr>
              <w:spacing w:after="0" w:line="240" w:lineRule="auto"/>
              <w:jc w:val="center"/>
              <w:rPr>
                <w:rFonts w:ascii="Times New Roman" w:hAnsi="Times New Roman"/>
                <w:sz w:val="20"/>
                <w:szCs w:val="20"/>
              </w:rPr>
            </w:pPr>
            <w:r>
              <w:rPr>
                <w:rFonts w:ascii="Times New Roman" w:hAnsi="Times New Roman"/>
                <w:sz w:val="20"/>
                <w:szCs w:val="20"/>
              </w:rPr>
              <w:t>10.44</w:t>
            </w:r>
          </w:p>
        </w:tc>
      </w:tr>
    </w:tbl>
    <w:p w:rsidR="00E02CFE" w:rsidRPr="00E02CFE" w:rsidRDefault="00E02CFE" w:rsidP="00E02CFE">
      <w:pPr>
        <w:spacing w:after="0" w:line="360" w:lineRule="auto"/>
        <w:jc w:val="both"/>
        <w:rPr>
          <w:rFonts w:ascii="Times New Roman" w:eastAsiaTheme="minorHAnsi" w:hAnsi="Times New Roman"/>
          <w:sz w:val="20"/>
          <w:szCs w:val="20"/>
        </w:rPr>
      </w:pPr>
      <w:r w:rsidRPr="00362499">
        <w:rPr>
          <w:rFonts w:ascii="Times New Roman" w:eastAsiaTheme="minorHAnsi" w:hAnsi="Times New Roman"/>
          <w:b/>
          <w:sz w:val="20"/>
          <w:szCs w:val="20"/>
        </w:rPr>
        <w:t>Source</w:t>
      </w:r>
      <w:r w:rsidRPr="00E02CFE">
        <w:rPr>
          <w:rFonts w:ascii="Times New Roman" w:eastAsiaTheme="minorHAnsi" w:hAnsi="Times New Roman"/>
          <w:sz w:val="20"/>
          <w:szCs w:val="20"/>
        </w:rPr>
        <w:t xml:space="preserve"> (Basic Data): Fin</w:t>
      </w:r>
      <w:r w:rsidR="00362499">
        <w:rPr>
          <w:rFonts w:ascii="Times New Roman" w:eastAsiaTheme="minorHAnsi" w:hAnsi="Times New Roman"/>
          <w:sz w:val="20"/>
          <w:szCs w:val="20"/>
        </w:rPr>
        <w:t>ance Accounts and State Budgets.</w:t>
      </w:r>
    </w:p>
    <w:p w:rsidR="00E02CFE" w:rsidRDefault="00E02CFE" w:rsidP="00F0654B">
      <w:pPr>
        <w:autoSpaceDE w:val="0"/>
        <w:autoSpaceDN w:val="0"/>
        <w:adjustRightInd w:val="0"/>
        <w:spacing w:after="0" w:line="360" w:lineRule="auto"/>
        <w:jc w:val="both"/>
        <w:rPr>
          <w:rFonts w:ascii="Times New Roman" w:eastAsia="Times New Roman" w:hAnsi="Times New Roman"/>
          <w:sz w:val="24"/>
          <w:szCs w:val="24"/>
        </w:rPr>
      </w:pPr>
    </w:p>
    <w:p w:rsidR="004762DE" w:rsidRDefault="0060489F" w:rsidP="004762DE">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Analyzing revenue expenditure in terms of r</w:t>
      </w:r>
      <w:r w:rsidR="004762DE" w:rsidRPr="004762DE">
        <w:rPr>
          <w:rFonts w:ascii="Times New Roman" w:eastAsia="Times New Roman" w:hAnsi="Times New Roman"/>
          <w:sz w:val="24"/>
          <w:szCs w:val="24"/>
        </w:rPr>
        <w:t xml:space="preserve">esource allocation to different sectors assumes significance </w:t>
      </w:r>
      <w:r>
        <w:rPr>
          <w:rFonts w:ascii="Times New Roman" w:eastAsia="Times New Roman" w:hAnsi="Times New Roman"/>
          <w:sz w:val="24"/>
          <w:szCs w:val="24"/>
        </w:rPr>
        <w:t>given its predominance</w:t>
      </w:r>
      <w:r w:rsidRPr="004762DE">
        <w:rPr>
          <w:rFonts w:ascii="Times New Roman" w:eastAsia="Times New Roman" w:hAnsi="Times New Roman"/>
          <w:sz w:val="24"/>
          <w:szCs w:val="24"/>
        </w:rPr>
        <w:t xml:space="preserve"> </w:t>
      </w:r>
      <w:r>
        <w:rPr>
          <w:rFonts w:ascii="Times New Roman" w:eastAsia="Times New Roman" w:hAnsi="Times New Roman"/>
          <w:sz w:val="24"/>
          <w:szCs w:val="24"/>
        </w:rPr>
        <w:t xml:space="preserve">in </w:t>
      </w:r>
      <w:r w:rsidR="004762DE" w:rsidRPr="004762DE">
        <w:rPr>
          <w:rFonts w:ascii="Times New Roman" w:eastAsia="Times New Roman" w:hAnsi="Times New Roman"/>
          <w:sz w:val="24"/>
          <w:szCs w:val="24"/>
        </w:rPr>
        <w:t>public expenditure</w:t>
      </w:r>
      <w:r>
        <w:rPr>
          <w:rFonts w:ascii="Times New Roman" w:eastAsia="Times New Roman" w:hAnsi="Times New Roman"/>
          <w:sz w:val="24"/>
          <w:szCs w:val="24"/>
        </w:rPr>
        <w:t xml:space="preserve">. </w:t>
      </w:r>
      <w:r w:rsidR="004762DE" w:rsidRPr="004762DE">
        <w:rPr>
          <w:rFonts w:ascii="Times New Roman" w:eastAsia="Times New Roman" w:hAnsi="Times New Roman"/>
          <w:sz w:val="24"/>
          <w:szCs w:val="24"/>
        </w:rPr>
        <w:t xml:space="preserve">In revenue expenditure, </w:t>
      </w:r>
      <w:r w:rsidR="005A7BD7">
        <w:rPr>
          <w:rFonts w:ascii="Times New Roman" w:eastAsia="Times New Roman" w:hAnsi="Times New Roman"/>
          <w:sz w:val="24"/>
          <w:szCs w:val="24"/>
        </w:rPr>
        <w:t xml:space="preserve">the </w:t>
      </w:r>
      <w:r w:rsidR="004762DE" w:rsidRPr="004762DE">
        <w:rPr>
          <w:rFonts w:ascii="Times New Roman" w:eastAsia="Times New Roman" w:hAnsi="Times New Roman"/>
          <w:sz w:val="24"/>
          <w:szCs w:val="24"/>
        </w:rPr>
        <w:t>state government spen</w:t>
      </w:r>
      <w:r>
        <w:rPr>
          <w:rFonts w:ascii="Times New Roman" w:eastAsia="Times New Roman" w:hAnsi="Times New Roman"/>
          <w:sz w:val="24"/>
          <w:szCs w:val="24"/>
        </w:rPr>
        <w:t xml:space="preserve">t </w:t>
      </w:r>
      <w:r w:rsidR="004762DE" w:rsidRPr="004762DE">
        <w:rPr>
          <w:rFonts w:ascii="Times New Roman" w:eastAsia="Times New Roman" w:hAnsi="Times New Roman"/>
          <w:sz w:val="24"/>
          <w:szCs w:val="24"/>
        </w:rPr>
        <w:t>about 6</w:t>
      </w:r>
      <w:r w:rsidR="004762DE">
        <w:rPr>
          <w:rFonts w:ascii="Times New Roman" w:eastAsia="Times New Roman" w:hAnsi="Times New Roman"/>
          <w:sz w:val="24"/>
          <w:szCs w:val="24"/>
        </w:rPr>
        <w:t xml:space="preserve">3 </w:t>
      </w:r>
      <w:r w:rsidR="004762DE" w:rsidRPr="004762DE">
        <w:rPr>
          <w:rFonts w:ascii="Times New Roman" w:eastAsia="Times New Roman" w:hAnsi="Times New Roman"/>
          <w:sz w:val="24"/>
          <w:szCs w:val="24"/>
        </w:rPr>
        <w:t>percent (average during 2011-12 to 201</w:t>
      </w:r>
      <w:r>
        <w:rPr>
          <w:rFonts w:ascii="Times New Roman" w:eastAsia="Times New Roman" w:hAnsi="Times New Roman"/>
          <w:sz w:val="24"/>
          <w:szCs w:val="24"/>
        </w:rPr>
        <w:t>9</w:t>
      </w:r>
      <w:r w:rsidR="004762DE" w:rsidRPr="004762DE">
        <w:rPr>
          <w:rFonts w:ascii="Times New Roman" w:eastAsia="Times New Roman" w:hAnsi="Times New Roman"/>
          <w:sz w:val="24"/>
          <w:szCs w:val="24"/>
        </w:rPr>
        <w:t>-</w:t>
      </w:r>
      <w:r>
        <w:rPr>
          <w:rFonts w:ascii="Times New Roman" w:eastAsia="Times New Roman" w:hAnsi="Times New Roman"/>
          <w:sz w:val="24"/>
          <w:szCs w:val="24"/>
        </w:rPr>
        <w:t>20</w:t>
      </w:r>
      <w:r w:rsidR="004762DE" w:rsidRPr="004762DE">
        <w:rPr>
          <w:rFonts w:ascii="Times New Roman" w:eastAsia="Times New Roman" w:hAnsi="Times New Roman"/>
          <w:sz w:val="24"/>
          <w:szCs w:val="24"/>
        </w:rPr>
        <w:t xml:space="preserve">) on social and economic services, out of which </w:t>
      </w:r>
      <w:r w:rsidR="004762DE">
        <w:rPr>
          <w:rFonts w:ascii="Times New Roman" w:eastAsia="Times New Roman" w:hAnsi="Times New Roman"/>
          <w:sz w:val="24"/>
          <w:szCs w:val="24"/>
        </w:rPr>
        <w:t xml:space="preserve">38 </w:t>
      </w:r>
      <w:r w:rsidR="004762DE" w:rsidRPr="004762DE">
        <w:rPr>
          <w:rFonts w:ascii="Times New Roman" w:eastAsia="Times New Roman" w:hAnsi="Times New Roman"/>
          <w:sz w:val="24"/>
          <w:szCs w:val="24"/>
        </w:rPr>
        <w:t>percent was spent on social services</w:t>
      </w:r>
      <w:r w:rsidR="007C7EB9">
        <w:rPr>
          <w:rFonts w:ascii="Times New Roman" w:eastAsia="Times New Roman" w:hAnsi="Times New Roman"/>
          <w:sz w:val="24"/>
          <w:szCs w:val="24"/>
        </w:rPr>
        <w:t xml:space="preserve"> (Table 3.4)</w:t>
      </w:r>
      <w:r w:rsidR="004762DE" w:rsidRPr="004762DE">
        <w:rPr>
          <w:rFonts w:ascii="Times New Roman" w:eastAsia="Times New Roman" w:hAnsi="Times New Roman"/>
          <w:sz w:val="24"/>
          <w:szCs w:val="24"/>
        </w:rPr>
        <w:t>. Relative share of general services during the same period was 2</w:t>
      </w:r>
      <w:r w:rsidR="004762DE">
        <w:rPr>
          <w:rFonts w:ascii="Times New Roman" w:eastAsia="Times New Roman" w:hAnsi="Times New Roman"/>
          <w:sz w:val="24"/>
          <w:szCs w:val="24"/>
        </w:rPr>
        <w:t>5</w:t>
      </w:r>
      <w:r w:rsidR="004762DE" w:rsidRPr="004762DE">
        <w:rPr>
          <w:rFonts w:ascii="Times New Roman" w:eastAsia="Times New Roman" w:hAnsi="Times New Roman"/>
          <w:sz w:val="24"/>
          <w:szCs w:val="24"/>
        </w:rPr>
        <w:t xml:space="preserve"> percent and grants to local bodies was </w:t>
      </w:r>
      <w:r w:rsidR="004762DE">
        <w:rPr>
          <w:rFonts w:ascii="Times New Roman" w:eastAsia="Times New Roman" w:hAnsi="Times New Roman"/>
          <w:sz w:val="24"/>
          <w:szCs w:val="24"/>
        </w:rPr>
        <w:t>1</w:t>
      </w:r>
      <w:r w:rsidR="005A7BD7">
        <w:rPr>
          <w:rFonts w:ascii="Times New Roman" w:eastAsia="Times New Roman" w:hAnsi="Times New Roman"/>
          <w:sz w:val="24"/>
          <w:szCs w:val="24"/>
        </w:rPr>
        <w:t xml:space="preserve"> </w:t>
      </w:r>
      <w:r w:rsidR="004762DE" w:rsidRPr="004762DE">
        <w:rPr>
          <w:rFonts w:ascii="Times New Roman" w:eastAsia="Times New Roman" w:hAnsi="Times New Roman"/>
          <w:sz w:val="24"/>
          <w:szCs w:val="24"/>
        </w:rPr>
        <w:t>percent. The composition of revenue expenditure shows that the share of social and economic services has increased over the years.  It is important for the Government of Sikkim to focus on social and economic sectors so that the overall composition of revenue expenditure adds value to the public expenditure.</w:t>
      </w:r>
    </w:p>
    <w:p w:rsidR="007C7EB9" w:rsidRDefault="007C7EB9" w:rsidP="004762DE">
      <w:pPr>
        <w:spacing w:after="0" w:line="360" w:lineRule="auto"/>
        <w:jc w:val="both"/>
        <w:rPr>
          <w:rFonts w:ascii="Times New Roman" w:eastAsia="Times New Roman" w:hAnsi="Times New Roman"/>
          <w:sz w:val="24"/>
          <w:szCs w:val="24"/>
        </w:rPr>
      </w:pPr>
    </w:p>
    <w:p w:rsidR="004762DE" w:rsidRDefault="004762DE" w:rsidP="004762DE">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 xml:space="preserve">Table </w:t>
      </w:r>
      <w:r w:rsidR="007C7EB9">
        <w:rPr>
          <w:rFonts w:ascii="Times New Roman" w:eastAsia="Times New Roman" w:hAnsi="Times New Roman"/>
          <w:b/>
        </w:rPr>
        <w:t>3.4</w:t>
      </w:r>
      <w:r w:rsidR="005A7BD7">
        <w:rPr>
          <w:rFonts w:ascii="Times New Roman" w:eastAsia="Times New Roman" w:hAnsi="Times New Roman"/>
          <w:b/>
        </w:rPr>
        <w:t xml:space="preserve">: </w:t>
      </w:r>
      <w:r w:rsidRPr="000B6FA3">
        <w:rPr>
          <w:rFonts w:ascii="Times New Roman" w:eastAsia="Times New Roman" w:hAnsi="Times New Roman"/>
          <w:b/>
        </w:rPr>
        <w:t>Composition of Revenue Expenditure in Sikkim</w:t>
      </w:r>
    </w:p>
    <w:p w:rsidR="005A7BD7" w:rsidRPr="00362499" w:rsidRDefault="005A7BD7" w:rsidP="005A7BD7">
      <w:pPr>
        <w:spacing w:after="0" w:line="240" w:lineRule="auto"/>
        <w:jc w:val="right"/>
        <w:rPr>
          <w:rFonts w:ascii="Times New Roman" w:eastAsiaTheme="minorHAnsi" w:hAnsi="Times New Roman"/>
          <w:b/>
          <w:i/>
        </w:rPr>
      </w:pPr>
      <w:r w:rsidRPr="00362499">
        <w:rPr>
          <w:rFonts w:ascii="Times New Roman" w:eastAsiaTheme="minorHAnsi" w:hAnsi="Times New Roman"/>
          <w:b/>
          <w:i/>
        </w:rPr>
        <w:t>(Percent)</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853"/>
        <w:gridCol w:w="846"/>
        <w:gridCol w:w="852"/>
        <w:gridCol w:w="850"/>
        <w:gridCol w:w="848"/>
        <w:gridCol w:w="734"/>
        <w:gridCol w:w="842"/>
        <w:gridCol w:w="842"/>
        <w:gridCol w:w="835"/>
      </w:tblGrid>
      <w:tr w:rsidR="005A7BD7" w:rsidRPr="005A7BD7" w:rsidTr="005A7BD7">
        <w:trPr>
          <w:trHeight w:val="270"/>
        </w:trPr>
        <w:tc>
          <w:tcPr>
            <w:tcW w:w="859" w:type="pct"/>
            <w:shd w:val="clear" w:color="auto" w:fill="auto"/>
            <w:noWrap/>
            <w:vAlign w:val="bottom"/>
            <w:hideMark/>
          </w:tcPr>
          <w:p w:rsidR="00BF447E" w:rsidRPr="005A7BD7" w:rsidRDefault="00BF447E" w:rsidP="005A7BD7">
            <w:pPr>
              <w:spacing w:after="0" w:line="240" w:lineRule="auto"/>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Heads</w:t>
            </w:r>
          </w:p>
        </w:tc>
        <w:tc>
          <w:tcPr>
            <w:tcW w:w="471"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2011-12</w:t>
            </w:r>
          </w:p>
        </w:tc>
        <w:tc>
          <w:tcPr>
            <w:tcW w:w="467"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 xml:space="preserve">2012-13 </w:t>
            </w:r>
          </w:p>
        </w:tc>
        <w:tc>
          <w:tcPr>
            <w:tcW w:w="470"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 xml:space="preserve">2013-14 </w:t>
            </w:r>
          </w:p>
        </w:tc>
        <w:tc>
          <w:tcPr>
            <w:tcW w:w="469"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2014-15</w:t>
            </w:r>
          </w:p>
        </w:tc>
        <w:tc>
          <w:tcPr>
            <w:tcW w:w="468"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sz w:val="20"/>
                <w:szCs w:val="20"/>
                <w:lang w:val="en-IN" w:eastAsia="en-IN"/>
              </w:rPr>
            </w:pPr>
            <w:r w:rsidRPr="005A7BD7">
              <w:rPr>
                <w:rFonts w:ascii="Times New Roman" w:eastAsia="Times New Roman" w:hAnsi="Times New Roman"/>
                <w:b/>
                <w:bCs/>
                <w:sz w:val="20"/>
                <w:szCs w:val="20"/>
                <w:lang w:val="en-IN" w:eastAsia="en-IN"/>
              </w:rPr>
              <w:t>2015-16</w:t>
            </w:r>
          </w:p>
        </w:tc>
        <w:tc>
          <w:tcPr>
            <w:tcW w:w="40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sz w:val="20"/>
                <w:szCs w:val="20"/>
                <w:lang w:val="en-IN" w:eastAsia="en-IN"/>
              </w:rPr>
            </w:pPr>
            <w:r w:rsidRPr="005A7BD7">
              <w:rPr>
                <w:rFonts w:ascii="Times New Roman" w:eastAsia="Times New Roman" w:hAnsi="Times New Roman"/>
                <w:b/>
                <w:bCs/>
                <w:sz w:val="20"/>
                <w:szCs w:val="20"/>
                <w:lang w:val="en-IN" w:eastAsia="en-IN"/>
              </w:rPr>
              <w:t xml:space="preserve">2016-17 </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2017-18</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2018-19</w:t>
            </w:r>
          </w:p>
        </w:tc>
        <w:tc>
          <w:tcPr>
            <w:tcW w:w="461" w:type="pct"/>
            <w:vAlign w:val="bottom"/>
          </w:tcPr>
          <w:p w:rsidR="00BF447E" w:rsidRPr="005A7BD7" w:rsidRDefault="00BF447E" w:rsidP="005A7BD7">
            <w:pPr>
              <w:spacing w:after="0" w:line="240" w:lineRule="auto"/>
              <w:jc w:val="center"/>
              <w:rPr>
                <w:rFonts w:ascii="Times New Roman" w:eastAsia="Times New Roman" w:hAnsi="Times New Roman"/>
                <w:b/>
                <w:bCs/>
                <w:color w:val="000000"/>
                <w:sz w:val="20"/>
                <w:szCs w:val="20"/>
                <w:lang w:val="en-IN" w:eastAsia="en-IN"/>
              </w:rPr>
            </w:pPr>
            <w:r w:rsidRPr="005A7BD7">
              <w:rPr>
                <w:rFonts w:ascii="Times New Roman" w:eastAsia="Times New Roman" w:hAnsi="Times New Roman"/>
                <w:b/>
                <w:bCs/>
                <w:color w:val="000000"/>
                <w:sz w:val="20"/>
                <w:szCs w:val="20"/>
                <w:lang w:val="en-IN" w:eastAsia="en-IN"/>
              </w:rPr>
              <w:t>2019-20</w:t>
            </w:r>
          </w:p>
        </w:tc>
      </w:tr>
      <w:tr w:rsidR="005A7BD7" w:rsidRPr="005A7BD7" w:rsidTr="005A7BD7">
        <w:trPr>
          <w:trHeight w:val="270"/>
        </w:trPr>
        <w:tc>
          <w:tcPr>
            <w:tcW w:w="859" w:type="pct"/>
            <w:shd w:val="clear" w:color="auto" w:fill="auto"/>
            <w:noWrap/>
            <w:vAlign w:val="bottom"/>
            <w:hideMark/>
          </w:tcPr>
          <w:p w:rsidR="00BF447E" w:rsidRPr="005A7BD7" w:rsidRDefault="00BF447E" w:rsidP="005A7BD7">
            <w:pPr>
              <w:spacing w:after="0" w:line="240" w:lineRule="auto"/>
              <w:rPr>
                <w:rFonts w:ascii="Times New Roman" w:eastAsia="Times New Roman" w:hAnsi="Times New Roman"/>
                <w:i/>
                <w:iCs/>
                <w:color w:val="000000"/>
                <w:lang w:val="en-IN" w:eastAsia="en-IN"/>
              </w:rPr>
            </w:pPr>
            <w:r w:rsidRPr="005A7BD7">
              <w:rPr>
                <w:rFonts w:ascii="Times New Roman" w:eastAsia="Times New Roman" w:hAnsi="Times New Roman"/>
                <w:i/>
                <w:iCs/>
                <w:color w:val="000000"/>
                <w:lang w:val="en-IN" w:eastAsia="en-IN"/>
              </w:rPr>
              <w:t>General Services</w:t>
            </w:r>
          </w:p>
        </w:tc>
        <w:tc>
          <w:tcPr>
            <w:tcW w:w="471"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30.97</w:t>
            </w:r>
          </w:p>
        </w:tc>
        <w:tc>
          <w:tcPr>
            <w:tcW w:w="467"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35.13</w:t>
            </w:r>
          </w:p>
        </w:tc>
        <w:tc>
          <w:tcPr>
            <w:tcW w:w="470"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34.22</w:t>
            </w:r>
          </w:p>
        </w:tc>
        <w:tc>
          <w:tcPr>
            <w:tcW w:w="469"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36.17</w:t>
            </w:r>
          </w:p>
        </w:tc>
        <w:tc>
          <w:tcPr>
            <w:tcW w:w="468"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34.13</w:t>
            </w:r>
          </w:p>
        </w:tc>
        <w:tc>
          <w:tcPr>
            <w:tcW w:w="40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37.51</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36.81</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37.51</w:t>
            </w:r>
          </w:p>
        </w:tc>
        <w:tc>
          <w:tcPr>
            <w:tcW w:w="461" w:type="pct"/>
            <w:vAlign w:val="bottom"/>
          </w:tcPr>
          <w:p w:rsidR="00BF447E" w:rsidRPr="005A7BD7" w:rsidRDefault="0060489F"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39.12</w:t>
            </w:r>
          </w:p>
        </w:tc>
      </w:tr>
      <w:tr w:rsidR="005A7BD7" w:rsidRPr="005A7BD7" w:rsidTr="005A7BD7">
        <w:trPr>
          <w:trHeight w:val="469"/>
        </w:trPr>
        <w:tc>
          <w:tcPr>
            <w:tcW w:w="859" w:type="pct"/>
            <w:shd w:val="clear" w:color="auto" w:fill="auto"/>
            <w:noWrap/>
            <w:vAlign w:val="bottom"/>
            <w:hideMark/>
          </w:tcPr>
          <w:p w:rsidR="00BF447E" w:rsidRPr="005A7BD7" w:rsidRDefault="00BF447E" w:rsidP="005A7BD7">
            <w:pPr>
              <w:spacing w:after="0" w:line="240" w:lineRule="auto"/>
              <w:rPr>
                <w:rFonts w:ascii="Times New Roman" w:eastAsia="Times New Roman" w:hAnsi="Times New Roman"/>
                <w:i/>
                <w:iCs/>
                <w:color w:val="000000"/>
                <w:lang w:val="en-IN" w:eastAsia="en-IN"/>
              </w:rPr>
            </w:pPr>
            <w:r w:rsidRPr="005A7BD7">
              <w:rPr>
                <w:rFonts w:ascii="Times New Roman" w:eastAsia="Times New Roman" w:hAnsi="Times New Roman"/>
                <w:i/>
                <w:iCs/>
                <w:color w:val="000000"/>
                <w:lang w:val="en-IN" w:eastAsia="en-IN"/>
              </w:rPr>
              <w:t>Social Services</w:t>
            </w:r>
          </w:p>
        </w:tc>
        <w:tc>
          <w:tcPr>
            <w:tcW w:w="471"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42.46</w:t>
            </w:r>
          </w:p>
        </w:tc>
        <w:tc>
          <w:tcPr>
            <w:tcW w:w="467"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37.79</w:t>
            </w:r>
          </w:p>
        </w:tc>
        <w:tc>
          <w:tcPr>
            <w:tcW w:w="470"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42.19</w:t>
            </w:r>
          </w:p>
        </w:tc>
        <w:tc>
          <w:tcPr>
            <w:tcW w:w="469"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38.12</w:t>
            </w:r>
          </w:p>
        </w:tc>
        <w:tc>
          <w:tcPr>
            <w:tcW w:w="468"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33.92</w:t>
            </w:r>
          </w:p>
        </w:tc>
        <w:tc>
          <w:tcPr>
            <w:tcW w:w="40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35.24</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36.90</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39.64</w:t>
            </w:r>
          </w:p>
        </w:tc>
        <w:tc>
          <w:tcPr>
            <w:tcW w:w="461" w:type="pct"/>
            <w:vAlign w:val="bottom"/>
          </w:tcPr>
          <w:p w:rsidR="00BF447E" w:rsidRPr="005A7BD7" w:rsidRDefault="0060489F"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36.44</w:t>
            </w:r>
          </w:p>
        </w:tc>
      </w:tr>
      <w:tr w:rsidR="005A7BD7" w:rsidRPr="005A7BD7" w:rsidTr="005A7BD7">
        <w:trPr>
          <w:trHeight w:val="546"/>
        </w:trPr>
        <w:tc>
          <w:tcPr>
            <w:tcW w:w="859" w:type="pct"/>
            <w:shd w:val="clear" w:color="auto" w:fill="auto"/>
            <w:noWrap/>
            <w:vAlign w:val="bottom"/>
            <w:hideMark/>
          </w:tcPr>
          <w:p w:rsidR="00BF447E" w:rsidRPr="005A7BD7" w:rsidRDefault="00BF447E" w:rsidP="005A7BD7">
            <w:pPr>
              <w:spacing w:after="0" w:line="240" w:lineRule="auto"/>
              <w:rPr>
                <w:rFonts w:ascii="Times New Roman" w:eastAsia="Times New Roman" w:hAnsi="Times New Roman"/>
                <w:i/>
                <w:iCs/>
                <w:color w:val="000000"/>
                <w:lang w:val="en-IN" w:eastAsia="en-IN"/>
              </w:rPr>
            </w:pPr>
            <w:r w:rsidRPr="005A7BD7">
              <w:rPr>
                <w:rFonts w:ascii="Times New Roman" w:eastAsia="Times New Roman" w:hAnsi="Times New Roman"/>
                <w:i/>
                <w:iCs/>
                <w:color w:val="000000"/>
                <w:lang w:val="en-IN" w:eastAsia="en-IN"/>
              </w:rPr>
              <w:t>Economic Services</w:t>
            </w:r>
          </w:p>
        </w:tc>
        <w:tc>
          <w:tcPr>
            <w:tcW w:w="471"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25.27</w:t>
            </w:r>
          </w:p>
        </w:tc>
        <w:tc>
          <w:tcPr>
            <w:tcW w:w="467"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26.17</w:t>
            </w:r>
          </w:p>
        </w:tc>
        <w:tc>
          <w:tcPr>
            <w:tcW w:w="470"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22.42</w:t>
            </w:r>
          </w:p>
        </w:tc>
        <w:tc>
          <w:tcPr>
            <w:tcW w:w="469"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24.46</w:t>
            </w:r>
          </w:p>
        </w:tc>
        <w:tc>
          <w:tcPr>
            <w:tcW w:w="468"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30.89</w:t>
            </w:r>
          </w:p>
        </w:tc>
        <w:tc>
          <w:tcPr>
            <w:tcW w:w="40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25.78</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24.77</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21.59</w:t>
            </w:r>
          </w:p>
        </w:tc>
        <w:tc>
          <w:tcPr>
            <w:tcW w:w="461" w:type="pct"/>
            <w:vAlign w:val="bottom"/>
          </w:tcPr>
          <w:p w:rsidR="00BF447E" w:rsidRPr="005A7BD7" w:rsidRDefault="0060489F"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23.08</w:t>
            </w:r>
          </w:p>
        </w:tc>
      </w:tr>
      <w:tr w:rsidR="005A7BD7" w:rsidRPr="005A7BD7" w:rsidTr="005A7BD7">
        <w:trPr>
          <w:trHeight w:val="597"/>
        </w:trPr>
        <w:tc>
          <w:tcPr>
            <w:tcW w:w="859" w:type="pct"/>
            <w:shd w:val="clear" w:color="auto" w:fill="auto"/>
            <w:noWrap/>
            <w:vAlign w:val="bottom"/>
            <w:hideMark/>
          </w:tcPr>
          <w:p w:rsidR="00BF447E" w:rsidRPr="005A7BD7" w:rsidRDefault="00BF447E" w:rsidP="005A7BD7">
            <w:pPr>
              <w:spacing w:after="0" w:line="240" w:lineRule="auto"/>
              <w:rPr>
                <w:rFonts w:ascii="Times New Roman" w:eastAsia="Times New Roman" w:hAnsi="Times New Roman"/>
                <w:i/>
                <w:iCs/>
                <w:color w:val="000000"/>
                <w:lang w:val="en-IN" w:eastAsia="en-IN"/>
              </w:rPr>
            </w:pPr>
            <w:r w:rsidRPr="005A7BD7">
              <w:rPr>
                <w:rFonts w:ascii="Times New Roman" w:eastAsia="Times New Roman" w:hAnsi="Times New Roman"/>
                <w:i/>
                <w:iCs/>
                <w:color w:val="000000"/>
                <w:lang w:val="en-IN" w:eastAsia="en-IN"/>
              </w:rPr>
              <w:t>Assignment to LBs</w:t>
            </w:r>
          </w:p>
        </w:tc>
        <w:tc>
          <w:tcPr>
            <w:tcW w:w="471"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1.30</w:t>
            </w:r>
          </w:p>
        </w:tc>
        <w:tc>
          <w:tcPr>
            <w:tcW w:w="467"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0.91</w:t>
            </w:r>
          </w:p>
        </w:tc>
        <w:tc>
          <w:tcPr>
            <w:tcW w:w="470"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1.17</w:t>
            </w:r>
          </w:p>
        </w:tc>
        <w:tc>
          <w:tcPr>
            <w:tcW w:w="469"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1.25</w:t>
            </w:r>
          </w:p>
        </w:tc>
        <w:tc>
          <w:tcPr>
            <w:tcW w:w="468"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1.06</w:t>
            </w:r>
          </w:p>
        </w:tc>
        <w:tc>
          <w:tcPr>
            <w:tcW w:w="40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1.47</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1.53</w:t>
            </w:r>
          </w:p>
        </w:tc>
        <w:tc>
          <w:tcPr>
            <w:tcW w:w="465" w:type="pct"/>
            <w:shd w:val="clear" w:color="auto" w:fill="auto"/>
            <w:noWrap/>
            <w:vAlign w:val="bottom"/>
            <w:hideMark/>
          </w:tcPr>
          <w:p w:rsidR="00BF447E" w:rsidRPr="005A7BD7" w:rsidRDefault="00BF447E"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1.27</w:t>
            </w:r>
          </w:p>
        </w:tc>
        <w:tc>
          <w:tcPr>
            <w:tcW w:w="461" w:type="pct"/>
            <w:vAlign w:val="bottom"/>
          </w:tcPr>
          <w:p w:rsidR="00BF447E" w:rsidRPr="005A7BD7" w:rsidRDefault="0060489F" w:rsidP="005A7BD7">
            <w:pPr>
              <w:spacing w:after="0" w:line="240" w:lineRule="auto"/>
              <w:jc w:val="center"/>
              <w:rPr>
                <w:rFonts w:ascii="Times New Roman" w:eastAsia="Times New Roman" w:hAnsi="Times New Roman"/>
                <w:color w:val="000000"/>
                <w:lang w:val="en-IN" w:eastAsia="en-IN"/>
              </w:rPr>
            </w:pPr>
            <w:r w:rsidRPr="005A7BD7">
              <w:rPr>
                <w:rFonts w:ascii="Times New Roman" w:eastAsia="Times New Roman" w:hAnsi="Times New Roman"/>
                <w:color w:val="000000"/>
                <w:lang w:val="en-IN" w:eastAsia="en-IN"/>
              </w:rPr>
              <w:t>1.57</w:t>
            </w:r>
          </w:p>
        </w:tc>
      </w:tr>
    </w:tbl>
    <w:p w:rsidR="004762DE" w:rsidRDefault="004762DE" w:rsidP="00F0654B">
      <w:pPr>
        <w:autoSpaceDE w:val="0"/>
        <w:autoSpaceDN w:val="0"/>
        <w:adjustRightInd w:val="0"/>
        <w:spacing w:after="0" w:line="360" w:lineRule="auto"/>
        <w:jc w:val="both"/>
        <w:rPr>
          <w:rFonts w:ascii="Times New Roman" w:eastAsia="Times New Roman" w:hAnsi="Times New Roman"/>
          <w:sz w:val="24"/>
          <w:szCs w:val="24"/>
        </w:rPr>
      </w:pPr>
    </w:p>
    <w:p w:rsidR="00A63DCC" w:rsidRDefault="005524DD" w:rsidP="00F0654B">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Downward rigid revenue expenditure can be analyzed in terms of share of a set of </w:t>
      </w:r>
      <w:r w:rsidR="00E05875" w:rsidRPr="006269B1">
        <w:rPr>
          <w:rFonts w:ascii="Times New Roman" w:eastAsia="Times New Roman" w:hAnsi="Times New Roman"/>
          <w:sz w:val="24"/>
          <w:szCs w:val="24"/>
        </w:rPr>
        <w:t xml:space="preserve">spending items </w:t>
      </w:r>
      <w:r>
        <w:rPr>
          <w:rFonts w:ascii="Times New Roman" w:eastAsia="Times New Roman" w:hAnsi="Times New Roman"/>
          <w:sz w:val="24"/>
          <w:szCs w:val="24"/>
        </w:rPr>
        <w:t xml:space="preserve">that are </w:t>
      </w:r>
      <w:r w:rsidR="00E05875" w:rsidRPr="00C976B7">
        <w:rPr>
          <w:rFonts w:ascii="Times New Roman" w:eastAsia="Times New Roman" w:hAnsi="Times New Roman"/>
          <w:sz w:val="24"/>
          <w:szCs w:val="24"/>
        </w:rPr>
        <w:t>contractual, committed, and pre-determined in nature</w:t>
      </w:r>
      <w:r w:rsidR="00E05875" w:rsidRPr="006269B1">
        <w:rPr>
          <w:rFonts w:ascii="Times New Roman" w:eastAsia="Times New Roman" w:hAnsi="Times New Roman"/>
          <w:sz w:val="24"/>
          <w:szCs w:val="24"/>
        </w:rPr>
        <w:t xml:space="preserve"> cannot be avoided or postponed during the year</w:t>
      </w:r>
      <w:r>
        <w:rPr>
          <w:rFonts w:ascii="Times New Roman" w:eastAsia="Times New Roman" w:hAnsi="Times New Roman"/>
          <w:sz w:val="24"/>
          <w:szCs w:val="24"/>
        </w:rPr>
        <w:t xml:space="preserve"> in it</w:t>
      </w:r>
      <w:r w:rsidR="00E05875" w:rsidRPr="006269B1">
        <w:rPr>
          <w:rFonts w:ascii="Times New Roman" w:eastAsia="Times New Roman" w:hAnsi="Times New Roman"/>
          <w:sz w:val="24"/>
          <w:szCs w:val="24"/>
        </w:rPr>
        <w:t>.</w:t>
      </w:r>
      <w:r>
        <w:rPr>
          <w:rFonts w:ascii="Times New Roman" w:eastAsia="Times New Roman" w:hAnsi="Times New Roman"/>
          <w:sz w:val="24"/>
          <w:szCs w:val="24"/>
        </w:rPr>
        <w:t xml:space="preserve"> </w:t>
      </w:r>
      <w:r w:rsidR="006269B1" w:rsidRPr="006269B1">
        <w:rPr>
          <w:rFonts w:ascii="Times New Roman" w:eastAsia="Times New Roman" w:hAnsi="Times New Roman"/>
          <w:sz w:val="24"/>
          <w:szCs w:val="24"/>
        </w:rPr>
        <w:t xml:space="preserve">The expenditures on wages and salary, pension payments, and interest payment taken together </w:t>
      </w:r>
      <w:r>
        <w:rPr>
          <w:rFonts w:ascii="Times New Roman" w:eastAsia="Times New Roman" w:hAnsi="Times New Roman"/>
          <w:sz w:val="24"/>
          <w:szCs w:val="24"/>
        </w:rPr>
        <w:t xml:space="preserve">refers to what is known as committed expenditure. </w:t>
      </w:r>
      <w:r w:rsidR="00F0654B">
        <w:rPr>
          <w:rFonts w:ascii="Times New Roman" w:eastAsia="Times New Roman" w:hAnsi="Times New Roman"/>
          <w:sz w:val="24"/>
          <w:szCs w:val="24"/>
        </w:rPr>
        <w:t xml:space="preserve">Higher </w:t>
      </w:r>
      <w:r w:rsidR="00F0654B">
        <w:rPr>
          <w:rFonts w:ascii="Times New Roman" w:eastAsia="Times New Roman" w:hAnsi="Times New Roman"/>
          <w:sz w:val="24"/>
          <w:szCs w:val="24"/>
        </w:rPr>
        <w:lastRenderedPageBreak/>
        <w:t xml:space="preserve">share of committed expenditure in total revenue expenditure reduces the </w:t>
      </w:r>
      <w:r w:rsidR="00F0654B" w:rsidRPr="00C976B7">
        <w:rPr>
          <w:rFonts w:ascii="Times New Roman" w:eastAsia="Times New Roman" w:hAnsi="Times New Roman"/>
          <w:sz w:val="24"/>
          <w:szCs w:val="24"/>
        </w:rPr>
        <w:t xml:space="preserve">discretionary expenditure on providing public services and </w:t>
      </w:r>
      <w:r w:rsidR="00F0654B">
        <w:rPr>
          <w:rFonts w:ascii="Times New Roman" w:eastAsia="Times New Roman" w:hAnsi="Times New Roman"/>
          <w:sz w:val="24"/>
          <w:szCs w:val="24"/>
        </w:rPr>
        <w:t xml:space="preserve">limits </w:t>
      </w:r>
      <w:r w:rsidR="00F0654B" w:rsidRPr="00C976B7">
        <w:rPr>
          <w:rFonts w:ascii="Times New Roman" w:eastAsia="Times New Roman" w:hAnsi="Times New Roman"/>
          <w:sz w:val="24"/>
          <w:szCs w:val="24"/>
        </w:rPr>
        <w:t>the degree of flexibility available to the government in determining allocation of pu</w:t>
      </w:r>
      <w:r w:rsidR="00F0654B" w:rsidRPr="005152AF">
        <w:rPr>
          <w:rFonts w:ascii="Times New Roman" w:eastAsia="Times New Roman" w:hAnsi="Times New Roman"/>
          <w:sz w:val="24"/>
          <w:szCs w:val="24"/>
        </w:rPr>
        <w:t>blic expenditures.</w:t>
      </w:r>
    </w:p>
    <w:p w:rsidR="00153673" w:rsidRDefault="00153673" w:rsidP="00F0654B">
      <w:pPr>
        <w:autoSpaceDE w:val="0"/>
        <w:autoSpaceDN w:val="0"/>
        <w:adjustRightInd w:val="0"/>
        <w:spacing w:after="0" w:line="360" w:lineRule="auto"/>
        <w:jc w:val="both"/>
        <w:rPr>
          <w:rFonts w:ascii="Times New Roman" w:eastAsia="Times New Roman" w:hAnsi="Times New Roman"/>
          <w:sz w:val="24"/>
          <w:szCs w:val="24"/>
        </w:rPr>
      </w:pPr>
    </w:p>
    <w:p w:rsidR="00AA614F" w:rsidRDefault="00F0654B" w:rsidP="00F0654B">
      <w:pPr>
        <w:autoSpaceDE w:val="0"/>
        <w:autoSpaceDN w:val="0"/>
        <w:adjustRightInd w:val="0"/>
        <w:spacing w:after="0" w:line="360" w:lineRule="auto"/>
        <w:jc w:val="both"/>
        <w:rPr>
          <w:rFonts w:ascii="Times New Roman" w:eastAsia="Times New Roman" w:hAnsi="Times New Roman"/>
          <w:sz w:val="24"/>
          <w:szCs w:val="24"/>
        </w:rPr>
      </w:pPr>
      <w:r w:rsidRPr="005152AF">
        <w:rPr>
          <w:rFonts w:ascii="Times New Roman" w:eastAsia="Times New Roman" w:hAnsi="Times New Roman"/>
          <w:sz w:val="24"/>
          <w:szCs w:val="24"/>
        </w:rPr>
        <w:t>The share of committed expenditure in Sikkim</w:t>
      </w:r>
      <w:r>
        <w:rPr>
          <w:rFonts w:ascii="Times New Roman" w:eastAsia="Times New Roman" w:hAnsi="Times New Roman"/>
          <w:sz w:val="24"/>
          <w:szCs w:val="24"/>
        </w:rPr>
        <w:t xml:space="preserve"> has increas</w:t>
      </w:r>
      <w:r w:rsidR="00AA614F">
        <w:rPr>
          <w:rFonts w:ascii="Times New Roman" w:eastAsia="Times New Roman" w:hAnsi="Times New Roman"/>
          <w:sz w:val="24"/>
          <w:szCs w:val="24"/>
        </w:rPr>
        <w:t xml:space="preserve">ed considerably in terms of its share revenue receipts and </w:t>
      </w:r>
      <w:r>
        <w:rPr>
          <w:rFonts w:ascii="Times New Roman" w:eastAsia="Times New Roman" w:hAnsi="Times New Roman"/>
          <w:sz w:val="24"/>
          <w:szCs w:val="24"/>
        </w:rPr>
        <w:t xml:space="preserve">revenue expenditure. </w:t>
      </w:r>
      <w:r w:rsidR="00AA614F">
        <w:rPr>
          <w:rFonts w:ascii="Times New Roman" w:eastAsia="Times New Roman" w:hAnsi="Times New Roman"/>
          <w:sz w:val="24"/>
          <w:szCs w:val="24"/>
        </w:rPr>
        <w:t xml:space="preserve">While its </w:t>
      </w:r>
      <w:r>
        <w:rPr>
          <w:rFonts w:ascii="Times New Roman" w:eastAsia="Times New Roman" w:hAnsi="Times New Roman"/>
          <w:sz w:val="24"/>
          <w:szCs w:val="24"/>
        </w:rPr>
        <w:t>share</w:t>
      </w:r>
      <w:r w:rsidR="00AA614F">
        <w:rPr>
          <w:rFonts w:ascii="Times New Roman" w:eastAsia="Times New Roman" w:hAnsi="Times New Roman"/>
          <w:sz w:val="24"/>
          <w:szCs w:val="24"/>
        </w:rPr>
        <w:t xml:space="preserve"> in revenue expenditure</w:t>
      </w:r>
      <w:r>
        <w:rPr>
          <w:rFonts w:ascii="Times New Roman" w:eastAsia="Times New Roman" w:hAnsi="Times New Roman"/>
          <w:sz w:val="24"/>
          <w:szCs w:val="24"/>
        </w:rPr>
        <w:t xml:space="preserve"> increased from 5</w:t>
      </w:r>
      <w:r w:rsidR="003A3598">
        <w:rPr>
          <w:rFonts w:ascii="Times New Roman" w:eastAsia="Times New Roman" w:hAnsi="Times New Roman"/>
          <w:sz w:val="24"/>
          <w:szCs w:val="24"/>
        </w:rPr>
        <w:t>9.08</w:t>
      </w:r>
      <w:r>
        <w:rPr>
          <w:rFonts w:ascii="Times New Roman" w:eastAsia="Times New Roman" w:hAnsi="Times New Roman"/>
          <w:sz w:val="24"/>
          <w:szCs w:val="24"/>
        </w:rPr>
        <w:t xml:space="preserve"> percent in 2011-12 to </w:t>
      </w:r>
      <w:r w:rsidR="003A3598">
        <w:rPr>
          <w:rFonts w:ascii="Times New Roman" w:eastAsia="Times New Roman" w:hAnsi="Times New Roman"/>
          <w:sz w:val="24"/>
          <w:szCs w:val="24"/>
        </w:rPr>
        <w:t>6</w:t>
      </w:r>
      <w:r w:rsidR="005C6893">
        <w:rPr>
          <w:rFonts w:ascii="Times New Roman" w:eastAsia="Times New Roman" w:hAnsi="Times New Roman"/>
          <w:sz w:val="24"/>
          <w:szCs w:val="24"/>
        </w:rPr>
        <w:t>5.77</w:t>
      </w:r>
      <w:r>
        <w:rPr>
          <w:rFonts w:ascii="Times New Roman" w:eastAsia="Times New Roman" w:hAnsi="Times New Roman"/>
          <w:sz w:val="24"/>
          <w:szCs w:val="24"/>
        </w:rPr>
        <w:t xml:space="preserve"> percent </w:t>
      </w:r>
      <w:r w:rsidRPr="000A4178">
        <w:rPr>
          <w:rFonts w:ascii="Times New Roman" w:eastAsia="Times New Roman" w:hAnsi="Times New Roman"/>
          <w:sz w:val="24"/>
          <w:szCs w:val="24"/>
        </w:rPr>
        <w:t>in 201</w:t>
      </w:r>
      <w:r w:rsidR="005C6893" w:rsidRPr="000A4178">
        <w:rPr>
          <w:rFonts w:ascii="Times New Roman" w:eastAsia="Times New Roman" w:hAnsi="Times New Roman"/>
          <w:sz w:val="24"/>
          <w:szCs w:val="24"/>
        </w:rPr>
        <w:t>8</w:t>
      </w:r>
      <w:r w:rsidRPr="000A4178">
        <w:rPr>
          <w:rFonts w:ascii="Times New Roman" w:eastAsia="Times New Roman" w:hAnsi="Times New Roman"/>
          <w:sz w:val="24"/>
          <w:szCs w:val="24"/>
        </w:rPr>
        <w:t>-1</w:t>
      </w:r>
      <w:r w:rsidR="005C6893" w:rsidRPr="000A4178">
        <w:rPr>
          <w:rFonts w:ascii="Times New Roman" w:eastAsia="Times New Roman" w:hAnsi="Times New Roman"/>
          <w:sz w:val="24"/>
          <w:szCs w:val="24"/>
        </w:rPr>
        <w:t>9</w:t>
      </w:r>
      <w:r w:rsidR="00AA614F">
        <w:rPr>
          <w:rFonts w:ascii="Times New Roman" w:eastAsia="Times New Roman" w:hAnsi="Times New Roman"/>
          <w:sz w:val="24"/>
          <w:szCs w:val="24"/>
        </w:rPr>
        <w:t xml:space="preserve">, the share increased sharply to 74.94 percent in 2019-20 </w:t>
      </w:r>
      <w:r w:rsidRPr="000A4178">
        <w:rPr>
          <w:rFonts w:ascii="Times New Roman" w:eastAsia="Times New Roman" w:hAnsi="Times New Roman"/>
          <w:sz w:val="24"/>
          <w:szCs w:val="24"/>
        </w:rPr>
        <w:t xml:space="preserve">(Table </w:t>
      </w:r>
      <w:r w:rsidR="000A4178" w:rsidRPr="000A4178">
        <w:rPr>
          <w:rFonts w:ascii="Times New Roman" w:eastAsia="Times New Roman" w:hAnsi="Times New Roman"/>
          <w:sz w:val="24"/>
          <w:szCs w:val="24"/>
        </w:rPr>
        <w:t>3.5</w:t>
      </w:r>
      <w:r w:rsidRPr="000A4178">
        <w:rPr>
          <w:rFonts w:ascii="Times New Roman" w:eastAsia="Times New Roman" w:hAnsi="Times New Roman"/>
          <w:sz w:val="24"/>
          <w:szCs w:val="24"/>
        </w:rPr>
        <w:t xml:space="preserve">). </w:t>
      </w:r>
      <w:r w:rsidR="00AA614F">
        <w:rPr>
          <w:rFonts w:ascii="Times New Roman" w:eastAsia="Times New Roman" w:hAnsi="Times New Roman"/>
          <w:sz w:val="24"/>
          <w:szCs w:val="24"/>
        </w:rPr>
        <w:t xml:space="preserve">Similarly, share of committed spending in revenue receipts increased from 49.98 percent in 2011-12 to 57.58 percent in 2018-19, and spiked to 95.75 percent in 2019-20. </w:t>
      </w:r>
      <w:r w:rsidR="003A3598" w:rsidRPr="000A4178">
        <w:rPr>
          <w:rFonts w:ascii="Times New Roman" w:eastAsia="Times New Roman" w:hAnsi="Times New Roman"/>
          <w:sz w:val="24"/>
          <w:szCs w:val="24"/>
        </w:rPr>
        <w:t xml:space="preserve">Spending </w:t>
      </w:r>
      <w:r w:rsidR="00AA614F">
        <w:rPr>
          <w:rFonts w:ascii="Times New Roman" w:eastAsia="Times New Roman" w:hAnsi="Times New Roman"/>
          <w:sz w:val="24"/>
          <w:szCs w:val="24"/>
        </w:rPr>
        <w:t xml:space="preserve">on </w:t>
      </w:r>
      <w:r w:rsidR="003A3598" w:rsidRPr="000A4178">
        <w:rPr>
          <w:rFonts w:ascii="Times New Roman" w:eastAsia="Times New Roman" w:hAnsi="Times New Roman"/>
          <w:sz w:val="24"/>
          <w:szCs w:val="24"/>
        </w:rPr>
        <w:t xml:space="preserve">salary and wages </w:t>
      </w:r>
      <w:r w:rsidR="00AA614F">
        <w:rPr>
          <w:rFonts w:ascii="Times New Roman" w:eastAsia="Times New Roman" w:hAnsi="Times New Roman"/>
          <w:sz w:val="24"/>
          <w:szCs w:val="24"/>
        </w:rPr>
        <w:t xml:space="preserve">was the major reason for upward rise of committed expenditure and the spike in 2019-20. Salary and wages account for about 65 percent of total committed expenditure. </w:t>
      </w:r>
      <w:r w:rsidR="00E0024E">
        <w:rPr>
          <w:rFonts w:ascii="Times New Roman" w:eastAsia="Times New Roman" w:hAnsi="Times New Roman"/>
          <w:sz w:val="24"/>
          <w:szCs w:val="24"/>
        </w:rPr>
        <w:t>In 2019-20, the salary and wages increased by Rs.997.78 crores as compared to the previous year.</w:t>
      </w:r>
    </w:p>
    <w:p w:rsidR="00AA614F" w:rsidRDefault="00AA614F" w:rsidP="00F0654B">
      <w:pPr>
        <w:autoSpaceDE w:val="0"/>
        <w:autoSpaceDN w:val="0"/>
        <w:adjustRightInd w:val="0"/>
        <w:spacing w:after="0" w:line="360" w:lineRule="auto"/>
        <w:jc w:val="both"/>
        <w:rPr>
          <w:rFonts w:ascii="Times New Roman" w:eastAsia="Times New Roman" w:hAnsi="Times New Roman"/>
          <w:sz w:val="24"/>
          <w:szCs w:val="24"/>
        </w:rPr>
      </w:pPr>
    </w:p>
    <w:p w:rsidR="00F0654B" w:rsidRDefault="00E0024E" w:rsidP="00F0654B">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According to the Government of Sikkim, the steep rise in committed expenditure was driven by salary and wages was due to payment of arrears for 6</w:t>
      </w:r>
      <w:r w:rsidRPr="00E0024E">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Pay Revision Commission. The government has paid salary arrear amounting to Rs.605 crore and pension arrears amount to Rs.112 crores in 2019-20. This has increased the committed spending and the government failed to control aggregate revenue expenditure while faced with severe resource crunch. </w:t>
      </w:r>
      <w:r w:rsidR="003A3598">
        <w:rPr>
          <w:rFonts w:ascii="Times New Roman" w:eastAsia="Times New Roman" w:hAnsi="Times New Roman"/>
          <w:sz w:val="24"/>
          <w:szCs w:val="24"/>
        </w:rPr>
        <w:t xml:space="preserve"> </w:t>
      </w:r>
    </w:p>
    <w:p w:rsidR="00B430A6" w:rsidRDefault="00B430A6" w:rsidP="00F0654B">
      <w:pPr>
        <w:autoSpaceDE w:val="0"/>
        <w:autoSpaceDN w:val="0"/>
        <w:adjustRightInd w:val="0"/>
        <w:spacing w:after="0" w:line="360" w:lineRule="auto"/>
        <w:jc w:val="both"/>
        <w:rPr>
          <w:rFonts w:ascii="Times New Roman" w:eastAsia="Times New Roman" w:hAnsi="Times New Roman"/>
          <w:sz w:val="24"/>
          <w:szCs w:val="24"/>
        </w:rPr>
      </w:pPr>
    </w:p>
    <w:p w:rsidR="00F0654B" w:rsidRPr="00924C92" w:rsidRDefault="00F0654B" w:rsidP="00F0654B">
      <w:pPr>
        <w:autoSpaceDE w:val="0"/>
        <w:autoSpaceDN w:val="0"/>
        <w:adjustRightInd w:val="0"/>
        <w:spacing w:after="0" w:line="240" w:lineRule="auto"/>
        <w:jc w:val="center"/>
        <w:rPr>
          <w:rFonts w:ascii="Times New Roman" w:eastAsia="Times New Roman" w:hAnsi="Times New Roman"/>
          <w:b/>
        </w:rPr>
      </w:pPr>
      <w:r>
        <w:rPr>
          <w:lang w:val="en-IN"/>
        </w:rPr>
        <w:tab/>
      </w:r>
      <w:r w:rsidRPr="00924C92">
        <w:rPr>
          <w:rFonts w:ascii="Times New Roman" w:eastAsia="Times New Roman" w:hAnsi="Times New Roman"/>
          <w:b/>
        </w:rPr>
        <w:t xml:space="preserve">Table </w:t>
      </w:r>
      <w:r w:rsidR="000A4178">
        <w:rPr>
          <w:rFonts w:ascii="Times New Roman" w:eastAsia="Times New Roman" w:hAnsi="Times New Roman"/>
          <w:b/>
        </w:rPr>
        <w:t>3.5</w:t>
      </w:r>
      <w:r w:rsidR="00E56DAA">
        <w:rPr>
          <w:rFonts w:ascii="Times New Roman" w:eastAsia="Times New Roman" w:hAnsi="Times New Roman"/>
          <w:b/>
        </w:rPr>
        <w:t>:</w:t>
      </w:r>
      <w:bookmarkStart w:id="0" w:name="OLE_LINK1"/>
      <w:r w:rsidR="00E56DAA">
        <w:rPr>
          <w:rFonts w:ascii="Times New Roman" w:eastAsia="Times New Roman" w:hAnsi="Times New Roman"/>
          <w:b/>
        </w:rPr>
        <w:t xml:space="preserve"> </w:t>
      </w:r>
      <w:r>
        <w:rPr>
          <w:rFonts w:ascii="Times New Roman" w:eastAsia="Times New Roman" w:hAnsi="Times New Roman"/>
          <w:b/>
        </w:rPr>
        <w:t xml:space="preserve">Committed Revenue Expenditure </w:t>
      </w:r>
    </w:p>
    <w:bookmarkEnd w:id="0"/>
    <w:p w:rsidR="00F0654B" w:rsidRPr="005A7BD7" w:rsidRDefault="00F0654B" w:rsidP="00F0654B">
      <w:pPr>
        <w:autoSpaceDE w:val="0"/>
        <w:autoSpaceDN w:val="0"/>
        <w:adjustRightInd w:val="0"/>
        <w:spacing w:after="0" w:line="240" w:lineRule="auto"/>
        <w:jc w:val="right"/>
        <w:rPr>
          <w:rFonts w:ascii="Times New Roman" w:eastAsia="Times New Roman" w:hAnsi="Times New Roman"/>
          <w:b/>
          <w:i/>
        </w:rPr>
      </w:pPr>
      <w:r w:rsidRPr="005A7BD7">
        <w:rPr>
          <w:rFonts w:ascii="Times New Roman" w:eastAsia="Times New Roman" w:hAnsi="Times New Roman"/>
          <w:b/>
          <w:i/>
        </w:rPr>
        <w:t>(Percent)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72"/>
        <w:gridCol w:w="775"/>
        <w:gridCol w:w="775"/>
        <w:gridCol w:w="775"/>
        <w:gridCol w:w="774"/>
        <w:gridCol w:w="775"/>
        <w:gridCol w:w="775"/>
        <w:gridCol w:w="774"/>
        <w:gridCol w:w="772"/>
      </w:tblGrid>
      <w:tr w:rsidR="00A63DCC" w:rsidRPr="00A63DCC" w:rsidTr="006500DC">
        <w:trPr>
          <w:trHeight w:val="255"/>
          <w:jc w:val="center"/>
        </w:trPr>
        <w:tc>
          <w:tcPr>
            <w:tcW w:w="1136" w:type="pct"/>
            <w:shd w:val="clear" w:color="auto" w:fill="auto"/>
            <w:noWrap/>
            <w:vAlign w:val="center"/>
            <w:hideMark/>
          </w:tcPr>
          <w:p w:rsidR="00A63DCC" w:rsidRPr="00A63DCC" w:rsidRDefault="00A63DCC" w:rsidP="00A63DCC">
            <w:pPr>
              <w:spacing w:before="120" w:after="0" w:line="240" w:lineRule="auto"/>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Committed Expenditure</w:t>
            </w:r>
          </w:p>
        </w:tc>
        <w:tc>
          <w:tcPr>
            <w:tcW w:w="428" w:type="pct"/>
            <w:shd w:val="clear" w:color="auto" w:fill="auto"/>
            <w:noWrap/>
            <w:vAlign w:val="center"/>
            <w:hideMark/>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2011-12</w:t>
            </w:r>
          </w:p>
        </w:tc>
        <w:tc>
          <w:tcPr>
            <w:tcW w:w="430" w:type="pct"/>
            <w:shd w:val="clear" w:color="auto" w:fill="auto"/>
            <w:noWrap/>
            <w:vAlign w:val="center"/>
            <w:hideMark/>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2012-13</w:t>
            </w:r>
          </w:p>
        </w:tc>
        <w:tc>
          <w:tcPr>
            <w:tcW w:w="430" w:type="pct"/>
            <w:shd w:val="clear" w:color="auto" w:fill="auto"/>
            <w:noWrap/>
            <w:vAlign w:val="center"/>
            <w:hideMark/>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2013-14</w:t>
            </w:r>
          </w:p>
        </w:tc>
        <w:tc>
          <w:tcPr>
            <w:tcW w:w="430" w:type="pct"/>
            <w:shd w:val="clear" w:color="auto" w:fill="auto"/>
            <w:noWrap/>
            <w:vAlign w:val="center"/>
            <w:hideMark/>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2014-15</w:t>
            </w:r>
          </w:p>
        </w:tc>
        <w:tc>
          <w:tcPr>
            <w:tcW w:w="429" w:type="pct"/>
            <w:vAlign w:val="center"/>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2015-16</w:t>
            </w:r>
          </w:p>
        </w:tc>
        <w:tc>
          <w:tcPr>
            <w:tcW w:w="430" w:type="pct"/>
            <w:vAlign w:val="center"/>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2016-17</w:t>
            </w:r>
          </w:p>
        </w:tc>
        <w:tc>
          <w:tcPr>
            <w:tcW w:w="430" w:type="pct"/>
            <w:vAlign w:val="center"/>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2017-18</w:t>
            </w:r>
          </w:p>
        </w:tc>
        <w:tc>
          <w:tcPr>
            <w:tcW w:w="429" w:type="pct"/>
            <w:vAlign w:val="center"/>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2018-19</w:t>
            </w:r>
          </w:p>
        </w:tc>
        <w:tc>
          <w:tcPr>
            <w:tcW w:w="428" w:type="pct"/>
            <w:vAlign w:val="center"/>
          </w:tcPr>
          <w:p w:rsidR="00A63DCC" w:rsidRPr="00A63DCC" w:rsidRDefault="00A63DCC" w:rsidP="00A63DCC">
            <w:pPr>
              <w:spacing w:before="120" w:after="0" w:line="240" w:lineRule="auto"/>
              <w:jc w:val="center"/>
              <w:rPr>
                <w:rFonts w:ascii="Times New Roman" w:eastAsia="Times New Roman" w:hAnsi="Times New Roman"/>
                <w:b/>
                <w:bCs/>
                <w:color w:val="000000"/>
                <w:sz w:val="20"/>
                <w:szCs w:val="20"/>
                <w:lang w:val="en-IN" w:eastAsia="en-IN"/>
              </w:rPr>
            </w:pPr>
            <w:r w:rsidRPr="00A63DCC">
              <w:rPr>
                <w:rFonts w:ascii="Times New Roman" w:eastAsia="Times New Roman" w:hAnsi="Times New Roman"/>
                <w:b/>
                <w:bCs/>
                <w:color w:val="000000"/>
                <w:sz w:val="20"/>
                <w:szCs w:val="20"/>
                <w:lang w:val="en-IN" w:eastAsia="en-IN"/>
              </w:rPr>
              <w:t>2019-20</w:t>
            </w:r>
          </w:p>
        </w:tc>
      </w:tr>
      <w:tr w:rsidR="00A63DCC" w:rsidRPr="00A63DCC" w:rsidTr="006500DC">
        <w:trPr>
          <w:trHeight w:val="255"/>
          <w:jc w:val="center"/>
        </w:trPr>
        <w:tc>
          <w:tcPr>
            <w:tcW w:w="4572" w:type="pct"/>
            <w:gridSpan w:val="9"/>
            <w:shd w:val="clear" w:color="auto" w:fill="auto"/>
            <w:noWrap/>
            <w:vAlign w:val="center"/>
          </w:tcPr>
          <w:p w:rsidR="00A63DCC" w:rsidRPr="00A63DCC" w:rsidRDefault="00A63DCC" w:rsidP="00A63DCC">
            <w:pPr>
              <w:spacing w:after="0" w:line="240" w:lineRule="auto"/>
              <w:jc w:val="center"/>
              <w:rPr>
                <w:rFonts w:ascii="Times New Roman" w:hAnsi="Times New Roman"/>
                <w:b/>
                <w:sz w:val="20"/>
                <w:szCs w:val="20"/>
              </w:rPr>
            </w:pPr>
            <w:r w:rsidRPr="00A63DCC">
              <w:rPr>
                <w:rFonts w:ascii="Times New Roman" w:hAnsi="Times New Roman"/>
                <w:b/>
                <w:sz w:val="20"/>
                <w:szCs w:val="20"/>
              </w:rPr>
              <w:t>As Percent of Revenue Receipts</w:t>
            </w:r>
          </w:p>
        </w:tc>
        <w:tc>
          <w:tcPr>
            <w:tcW w:w="428" w:type="pct"/>
            <w:vAlign w:val="center"/>
          </w:tcPr>
          <w:p w:rsidR="00A63DCC" w:rsidRPr="00A63DCC" w:rsidRDefault="00A63DCC" w:rsidP="00A63DCC">
            <w:pPr>
              <w:spacing w:after="0" w:line="240" w:lineRule="auto"/>
              <w:jc w:val="center"/>
              <w:rPr>
                <w:rFonts w:ascii="Times New Roman" w:hAnsi="Times New Roman"/>
                <w:b/>
                <w:sz w:val="20"/>
                <w:szCs w:val="20"/>
              </w:rPr>
            </w:pPr>
          </w:p>
        </w:tc>
      </w:tr>
      <w:tr w:rsidR="00A63DCC" w:rsidRPr="00A63DCC" w:rsidTr="006500DC">
        <w:trPr>
          <w:trHeight w:val="255"/>
          <w:jc w:val="center"/>
        </w:trPr>
        <w:tc>
          <w:tcPr>
            <w:tcW w:w="1136" w:type="pct"/>
            <w:shd w:val="clear" w:color="auto" w:fill="auto"/>
            <w:noWrap/>
            <w:vAlign w:val="center"/>
          </w:tcPr>
          <w:p w:rsidR="00A63DCC" w:rsidRPr="00A63DCC" w:rsidRDefault="00A63DCC" w:rsidP="00A63DCC">
            <w:pPr>
              <w:spacing w:after="0" w:line="240" w:lineRule="auto"/>
              <w:rPr>
                <w:rFonts w:ascii="Times New Roman" w:hAnsi="Times New Roman"/>
                <w:sz w:val="20"/>
                <w:szCs w:val="20"/>
              </w:rPr>
            </w:pPr>
            <w:r w:rsidRPr="00A63DCC">
              <w:rPr>
                <w:rFonts w:ascii="Times New Roman" w:hAnsi="Times New Roman"/>
                <w:sz w:val="20"/>
                <w:szCs w:val="20"/>
              </w:rPr>
              <w:t>Interest Payment</w:t>
            </w:r>
          </w:p>
        </w:tc>
        <w:tc>
          <w:tcPr>
            <w:tcW w:w="428"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6.64</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6.05</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5.68</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5.86</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6.93</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7.04</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6.95</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7.25</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10.53</w:t>
            </w:r>
          </w:p>
        </w:tc>
      </w:tr>
      <w:tr w:rsidR="00A63DCC" w:rsidRPr="00A63DCC" w:rsidTr="006500DC">
        <w:trPr>
          <w:trHeight w:val="255"/>
          <w:jc w:val="center"/>
        </w:trPr>
        <w:tc>
          <w:tcPr>
            <w:tcW w:w="1136" w:type="pct"/>
            <w:shd w:val="clear" w:color="auto" w:fill="auto"/>
            <w:noWrap/>
            <w:vAlign w:val="center"/>
          </w:tcPr>
          <w:p w:rsidR="00A63DCC" w:rsidRPr="00A63DCC" w:rsidRDefault="00A63DCC" w:rsidP="00A63DCC">
            <w:pPr>
              <w:spacing w:after="0" w:line="240" w:lineRule="auto"/>
              <w:rPr>
                <w:rFonts w:ascii="Times New Roman" w:hAnsi="Times New Roman"/>
                <w:sz w:val="20"/>
                <w:szCs w:val="20"/>
              </w:rPr>
            </w:pPr>
            <w:r w:rsidRPr="00A63DCC">
              <w:rPr>
                <w:rFonts w:ascii="Times New Roman" w:hAnsi="Times New Roman"/>
                <w:sz w:val="20"/>
                <w:szCs w:val="20"/>
              </w:rPr>
              <w:t>Pension</w:t>
            </w:r>
          </w:p>
        </w:tc>
        <w:tc>
          <w:tcPr>
            <w:tcW w:w="428"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6.05</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6.85</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6.69</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8.15</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10.63</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9.68</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9.69</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12.35</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18.81</w:t>
            </w:r>
          </w:p>
        </w:tc>
      </w:tr>
      <w:tr w:rsidR="00A63DCC" w:rsidRPr="00A63DCC" w:rsidTr="006500DC">
        <w:trPr>
          <w:trHeight w:val="255"/>
          <w:jc w:val="center"/>
        </w:trPr>
        <w:tc>
          <w:tcPr>
            <w:tcW w:w="1136" w:type="pct"/>
            <w:shd w:val="clear" w:color="auto" w:fill="auto"/>
            <w:noWrap/>
            <w:vAlign w:val="center"/>
          </w:tcPr>
          <w:p w:rsidR="00A63DCC" w:rsidRPr="00A63DCC" w:rsidRDefault="00A63DCC" w:rsidP="00A63DCC">
            <w:pPr>
              <w:spacing w:after="0" w:line="240" w:lineRule="auto"/>
              <w:rPr>
                <w:rFonts w:ascii="Times New Roman" w:hAnsi="Times New Roman"/>
                <w:sz w:val="20"/>
                <w:szCs w:val="20"/>
              </w:rPr>
            </w:pPr>
            <w:r w:rsidRPr="00A63DCC">
              <w:rPr>
                <w:rFonts w:ascii="Times New Roman" w:hAnsi="Times New Roman"/>
                <w:sz w:val="20"/>
                <w:szCs w:val="20"/>
              </w:rPr>
              <w:t>Salaries and wages</w:t>
            </w:r>
          </w:p>
        </w:tc>
        <w:tc>
          <w:tcPr>
            <w:tcW w:w="428"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37.29</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28.28</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34.69</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30.25</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35.88</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30.88</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28.37</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37.98</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66.41</w:t>
            </w:r>
          </w:p>
        </w:tc>
      </w:tr>
      <w:tr w:rsidR="00A63DCC" w:rsidRPr="00A63DCC" w:rsidTr="006500DC">
        <w:trPr>
          <w:trHeight w:val="255"/>
          <w:jc w:val="center"/>
        </w:trPr>
        <w:tc>
          <w:tcPr>
            <w:tcW w:w="1136" w:type="pct"/>
            <w:shd w:val="clear" w:color="auto" w:fill="auto"/>
            <w:noWrap/>
            <w:vAlign w:val="center"/>
          </w:tcPr>
          <w:p w:rsidR="00A63DCC" w:rsidRPr="00A63DCC" w:rsidRDefault="00A63DCC" w:rsidP="00A63DCC">
            <w:pPr>
              <w:spacing w:after="0" w:line="240" w:lineRule="auto"/>
              <w:rPr>
                <w:rFonts w:ascii="Times New Roman" w:hAnsi="Times New Roman"/>
                <w:sz w:val="20"/>
                <w:szCs w:val="20"/>
              </w:rPr>
            </w:pPr>
            <w:r w:rsidRPr="00A63DCC">
              <w:rPr>
                <w:rFonts w:ascii="Times New Roman" w:hAnsi="Times New Roman"/>
                <w:sz w:val="20"/>
                <w:szCs w:val="20"/>
              </w:rPr>
              <w:t>Total</w:t>
            </w:r>
          </w:p>
        </w:tc>
        <w:tc>
          <w:tcPr>
            <w:tcW w:w="428"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49.98</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41.18</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47.07</w:t>
            </w:r>
          </w:p>
        </w:tc>
        <w:tc>
          <w:tcPr>
            <w:tcW w:w="430" w:type="pct"/>
            <w:shd w:val="clear" w:color="auto" w:fill="auto"/>
            <w:noWrap/>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44.26</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53.43</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47.60</w:t>
            </w:r>
          </w:p>
        </w:tc>
        <w:tc>
          <w:tcPr>
            <w:tcW w:w="430"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45.01</w:t>
            </w:r>
          </w:p>
        </w:tc>
        <w:tc>
          <w:tcPr>
            <w:tcW w:w="429"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57.58</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95.75</w:t>
            </w:r>
          </w:p>
        </w:tc>
      </w:tr>
      <w:tr w:rsidR="00A63DCC" w:rsidRPr="00A63DCC" w:rsidTr="006500DC">
        <w:trPr>
          <w:trHeight w:val="255"/>
          <w:jc w:val="center"/>
        </w:trPr>
        <w:tc>
          <w:tcPr>
            <w:tcW w:w="4572" w:type="pct"/>
            <w:gridSpan w:val="9"/>
            <w:shd w:val="clear" w:color="auto" w:fill="auto"/>
            <w:noWrap/>
            <w:vAlign w:val="center"/>
          </w:tcPr>
          <w:p w:rsidR="00A63DCC" w:rsidRPr="00A63DCC" w:rsidRDefault="00A63DCC" w:rsidP="00E56DAA">
            <w:pPr>
              <w:spacing w:after="0" w:line="240" w:lineRule="auto"/>
              <w:jc w:val="center"/>
              <w:rPr>
                <w:rFonts w:ascii="Times New Roman" w:hAnsi="Times New Roman"/>
                <w:b/>
                <w:sz w:val="20"/>
                <w:szCs w:val="20"/>
              </w:rPr>
            </w:pPr>
            <w:r w:rsidRPr="00A63DCC">
              <w:rPr>
                <w:rFonts w:ascii="Times New Roman" w:hAnsi="Times New Roman"/>
                <w:b/>
                <w:sz w:val="20"/>
                <w:szCs w:val="20"/>
              </w:rPr>
              <w:t xml:space="preserve">As Percent of Revenue </w:t>
            </w:r>
            <w:r w:rsidR="00E56DAA">
              <w:rPr>
                <w:rFonts w:ascii="Times New Roman" w:hAnsi="Times New Roman"/>
                <w:b/>
                <w:sz w:val="20"/>
                <w:szCs w:val="20"/>
              </w:rPr>
              <w:t>E</w:t>
            </w:r>
            <w:r w:rsidRPr="00A63DCC">
              <w:rPr>
                <w:rFonts w:ascii="Times New Roman" w:hAnsi="Times New Roman"/>
                <w:b/>
                <w:sz w:val="20"/>
                <w:szCs w:val="20"/>
              </w:rPr>
              <w:t>xpenditure</w:t>
            </w:r>
          </w:p>
        </w:tc>
        <w:tc>
          <w:tcPr>
            <w:tcW w:w="428" w:type="pct"/>
            <w:vAlign w:val="center"/>
          </w:tcPr>
          <w:p w:rsidR="00A63DCC" w:rsidRPr="00A63DCC" w:rsidRDefault="00A63DCC" w:rsidP="00A63DCC">
            <w:pPr>
              <w:spacing w:after="0" w:line="240" w:lineRule="auto"/>
              <w:jc w:val="center"/>
              <w:rPr>
                <w:rFonts w:ascii="Times New Roman" w:hAnsi="Times New Roman"/>
                <w:b/>
                <w:sz w:val="20"/>
                <w:szCs w:val="20"/>
              </w:rPr>
            </w:pPr>
          </w:p>
        </w:tc>
      </w:tr>
      <w:tr w:rsidR="00A63DCC" w:rsidRPr="00A63DCC" w:rsidTr="006500DC">
        <w:trPr>
          <w:trHeight w:val="255"/>
          <w:jc w:val="center"/>
        </w:trPr>
        <w:tc>
          <w:tcPr>
            <w:tcW w:w="1136" w:type="pct"/>
            <w:shd w:val="clear" w:color="auto" w:fill="auto"/>
            <w:noWrap/>
            <w:vAlign w:val="center"/>
            <w:hideMark/>
          </w:tcPr>
          <w:p w:rsidR="00A63DCC" w:rsidRPr="00A63DCC" w:rsidRDefault="00A63DCC" w:rsidP="00A63DCC">
            <w:pPr>
              <w:spacing w:before="120" w:after="0" w:line="240" w:lineRule="auto"/>
              <w:rPr>
                <w:rFonts w:ascii="Times New Roman" w:hAnsi="Times New Roman"/>
                <w:sz w:val="20"/>
                <w:szCs w:val="20"/>
              </w:rPr>
            </w:pPr>
            <w:r w:rsidRPr="00A63DCC">
              <w:rPr>
                <w:rFonts w:ascii="Times New Roman" w:hAnsi="Times New Roman"/>
                <w:sz w:val="20"/>
                <w:szCs w:val="20"/>
              </w:rPr>
              <w:t>Interest Payment</w:t>
            </w:r>
          </w:p>
        </w:tc>
        <w:tc>
          <w:tcPr>
            <w:tcW w:w="428"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7.85</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7.93</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7.31</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7.14</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7.19</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8.56</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8.72</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8.29</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8.24</w:t>
            </w:r>
          </w:p>
        </w:tc>
      </w:tr>
      <w:tr w:rsidR="00A63DCC" w:rsidRPr="00A63DCC" w:rsidTr="006500DC">
        <w:trPr>
          <w:trHeight w:val="255"/>
          <w:jc w:val="center"/>
        </w:trPr>
        <w:tc>
          <w:tcPr>
            <w:tcW w:w="1136" w:type="pct"/>
            <w:shd w:val="clear" w:color="auto" w:fill="auto"/>
            <w:noWrap/>
            <w:vAlign w:val="center"/>
            <w:hideMark/>
          </w:tcPr>
          <w:p w:rsidR="00A63DCC" w:rsidRPr="00A63DCC" w:rsidRDefault="00A63DCC" w:rsidP="00A63DCC">
            <w:pPr>
              <w:spacing w:before="120" w:after="0" w:line="240" w:lineRule="auto"/>
              <w:rPr>
                <w:rFonts w:ascii="Times New Roman" w:hAnsi="Times New Roman"/>
                <w:sz w:val="20"/>
                <w:szCs w:val="20"/>
              </w:rPr>
            </w:pPr>
            <w:r w:rsidRPr="00A63DCC">
              <w:rPr>
                <w:rFonts w:ascii="Times New Roman" w:hAnsi="Times New Roman"/>
                <w:sz w:val="20"/>
                <w:szCs w:val="20"/>
              </w:rPr>
              <w:t>Pension</w:t>
            </w:r>
          </w:p>
        </w:tc>
        <w:tc>
          <w:tcPr>
            <w:tcW w:w="428"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7.15</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8.98</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8.62</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9.92</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11.04</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11.79</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12.17</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14.11</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14.72</w:t>
            </w:r>
          </w:p>
        </w:tc>
      </w:tr>
      <w:tr w:rsidR="00A63DCC" w:rsidRPr="00A63DCC" w:rsidTr="006500DC">
        <w:trPr>
          <w:trHeight w:val="255"/>
          <w:jc w:val="center"/>
        </w:trPr>
        <w:tc>
          <w:tcPr>
            <w:tcW w:w="1136" w:type="pct"/>
            <w:shd w:val="clear" w:color="auto" w:fill="auto"/>
            <w:noWrap/>
            <w:vAlign w:val="center"/>
            <w:hideMark/>
          </w:tcPr>
          <w:p w:rsidR="00A63DCC" w:rsidRPr="00A63DCC" w:rsidRDefault="00A63DCC" w:rsidP="00A63DCC">
            <w:pPr>
              <w:spacing w:before="120" w:after="0" w:line="240" w:lineRule="auto"/>
              <w:rPr>
                <w:rFonts w:ascii="Times New Roman" w:hAnsi="Times New Roman"/>
                <w:sz w:val="20"/>
                <w:szCs w:val="20"/>
              </w:rPr>
            </w:pPr>
            <w:r w:rsidRPr="00A63DCC">
              <w:rPr>
                <w:rFonts w:ascii="Times New Roman" w:hAnsi="Times New Roman"/>
                <w:sz w:val="20"/>
                <w:szCs w:val="20"/>
              </w:rPr>
              <w:t>Salaries and wages</w:t>
            </w:r>
          </w:p>
        </w:tc>
        <w:tc>
          <w:tcPr>
            <w:tcW w:w="428"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44.08</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37.09</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44.65</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36.83</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37.25</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37.58</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35.62</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43.38</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51.98</w:t>
            </w:r>
          </w:p>
        </w:tc>
      </w:tr>
      <w:tr w:rsidR="00A63DCC" w:rsidRPr="00A63DCC" w:rsidTr="006500DC">
        <w:trPr>
          <w:trHeight w:val="255"/>
          <w:jc w:val="center"/>
        </w:trPr>
        <w:tc>
          <w:tcPr>
            <w:tcW w:w="1136" w:type="pct"/>
            <w:shd w:val="clear" w:color="auto" w:fill="auto"/>
            <w:noWrap/>
            <w:vAlign w:val="center"/>
            <w:hideMark/>
          </w:tcPr>
          <w:p w:rsidR="00A63DCC" w:rsidRPr="00A63DCC" w:rsidRDefault="00A63DCC" w:rsidP="00A63DCC">
            <w:pPr>
              <w:spacing w:before="120" w:after="0" w:line="240" w:lineRule="auto"/>
              <w:rPr>
                <w:rFonts w:ascii="Times New Roman" w:eastAsia="Times New Roman" w:hAnsi="Times New Roman"/>
                <w:b/>
                <w:color w:val="000000"/>
                <w:sz w:val="20"/>
                <w:szCs w:val="20"/>
                <w:lang w:val="en-IN" w:eastAsia="en-IN"/>
              </w:rPr>
            </w:pPr>
            <w:r w:rsidRPr="00A63DCC">
              <w:rPr>
                <w:rFonts w:ascii="Times New Roman" w:eastAsia="Times New Roman" w:hAnsi="Times New Roman"/>
                <w:b/>
                <w:color w:val="000000"/>
                <w:sz w:val="20"/>
                <w:szCs w:val="20"/>
                <w:lang w:val="en-IN" w:eastAsia="en-IN"/>
              </w:rPr>
              <w:t>Total</w:t>
            </w:r>
          </w:p>
        </w:tc>
        <w:tc>
          <w:tcPr>
            <w:tcW w:w="428"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59.08</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54.00</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60.58</w:t>
            </w:r>
          </w:p>
        </w:tc>
        <w:tc>
          <w:tcPr>
            <w:tcW w:w="430" w:type="pct"/>
            <w:shd w:val="clear" w:color="auto" w:fill="auto"/>
            <w:noWrap/>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53.89</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55.48</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57.93</w:t>
            </w:r>
          </w:p>
        </w:tc>
        <w:tc>
          <w:tcPr>
            <w:tcW w:w="430"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56.51</w:t>
            </w:r>
          </w:p>
        </w:tc>
        <w:tc>
          <w:tcPr>
            <w:tcW w:w="429" w:type="pct"/>
            <w:vAlign w:val="center"/>
          </w:tcPr>
          <w:p w:rsidR="00A63DCC" w:rsidRPr="00A63DCC" w:rsidRDefault="00A63DCC" w:rsidP="00A63DCC">
            <w:pPr>
              <w:spacing w:after="0" w:line="240" w:lineRule="auto"/>
              <w:jc w:val="center"/>
              <w:rPr>
                <w:rFonts w:ascii="Times New Roman" w:hAnsi="Times New Roman"/>
                <w:sz w:val="20"/>
                <w:szCs w:val="20"/>
              </w:rPr>
            </w:pPr>
            <w:r w:rsidRPr="00A63DCC">
              <w:rPr>
                <w:rFonts w:ascii="Times New Roman" w:hAnsi="Times New Roman"/>
                <w:sz w:val="20"/>
                <w:szCs w:val="20"/>
              </w:rPr>
              <w:t>65.77</w:t>
            </w:r>
          </w:p>
        </w:tc>
        <w:tc>
          <w:tcPr>
            <w:tcW w:w="428" w:type="pct"/>
            <w:vAlign w:val="center"/>
          </w:tcPr>
          <w:p w:rsidR="00A63DCC" w:rsidRPr="00A63DCC" w:rsidRDefault="00A63DCC" w:rsidP="00A63DCC">
            <w:pPr>
              <w:spacing w:after="0"/>
              <w:jc w:val="center"/>
              <w:rPr>
                <w:rFonts w:ascii="Times New Roman" w:hAnsi="Times New Roman"/>
                <w:sz w:val="20"/>
                <w:szCs w:val="20"/>
              </w:rPr>
            </w:pPr>
            <w:r w:rsidRPr="00A63DCC">
              <w:rPr>
                <w:rFonts w:ascii="Times New Roman" w:hAnsi="Times New Roman"/>
                <w:sz w:val="20"/>
                <w:szCs w:val="20"/>
              </w:rPr>
              <w:t>74.94</w:t>
            </w:r>
          </w:p>
        </w:tc>
      </w:tr>
    </w:tbl>
    <w:p w:rsidR="00F0654B" w:rsidRPr="000A4178" w:rsidRDefault="00F0654B" w:rsidP="00F0654B">
      <w:pPr>
        <w:autoSpaceDE w:val="0"/>
        <w:autoSpaceDN w:val="0"/>
        <w:adjustRightInd w:val="0"/>
        <w:spacing w:after="0" w:line="240" w:lineRule="auto"/>
        <w:jc w:val="both"/>
        <w:rPr>
          <w:rFonts w:ascii="Times New Roman" w:eastAsia="Times New Roman" w:hAnsi="Times New Roman"/>
          <w:sz w:val="20"/>
          <w:szCs w:val="20"/>
        </w:rPr>
      </w:pPr>
      <w:r w:rsidRPr="00E56DAA">
        <w:rPr>
          <w:rFonts w:ascii="Times New Roman" w:eastAsia="Times New Roman" w:hAnsi="Times New Roman"/>
          <w:b/>
          <w:sz w:val="20"/>
          <w:szCs w:val="20"/>
        </w:rPr>
        <w:t>Source</w:t>
      </w:r>
      <w:r w:rsidRPr="000A4178">
        <w:rPr>
          <w:rFonts w:ascii="Times New Roman" w:eastAsia="Times New Roman" w:hAnsi="Times New Roman"/>
          <w:sz w:val="20"/>
          <w:szCs w:val="20"/>
        </w:rPr>
        <w:t xml:space="preserve"> (Basic Data): Finance Accounts and State Budget 20</w:t>
      </w:r>
      <w:r w:rsidR="006269B1" w:rsidRPr="000A4178">
        <w:rPr>
          <w:rFonts w:ascii="Times New Roman" w:eastAsia="Times New Roman" w:hAnsi="Times New Roman"/>
          <w:sz w:val="20"/>
          <w:szCs w:val="20"/>
        </w:rPr>
        <w:t>2</w:t>
      </w:r>
      <w:r w:rsidR="00A63DCC">
        <w:rPr>
          <w:rFonts w:ascii="Times New Roman" w:eastAsia="Times New Roman" w:hAnsi="Times New Roman"/>
          <w:sz w:val="20"/>
          <w:szCs w:val="20"/>
        </w:rPr>
        <w:t>1</w:t>
      </w:r>
      <w:r w:rsidRPr="000A4178">
        <w:rPr>
          <w:rFonts w:ascii="Times New Roman" w:eastAsia="Times New Roman" w:hAnsi="Times New Roman"/>
          <w:sz w:val="20"/>
          <w:szCs w:val="20"/>
        </w:rPr>
        <w:t>-</w:t>
      </w:r>
      <w:r w:rsidR="00835393" w:rsidRPr="000A4178">
        <w:rPr>
          <w:rFonts w:ascii="Times New Roman" w:eastAsia="Times New Roman" w:hAnsi="Times New Roman"/>
          <w:sz w:val="20"/>
          <w:szCs w:val="20"/>
        </w:rPr>
        <w:t>2</w:t>
      </w:r>
      <w:r w:rsidR="00A63DCC">
        <w:rPr>
          <w:rFonts w:ascii="Times New Roman" w:eastAsia="Times New Roman" w:hAnsi="Times New Roman"/>
          <w:sz w:val="20"/>
          <w:szCs w:val="20"/>
        </w:rPr>
        <w:t>2</w:t>
      </w:r>
      <w:r w:rsidR="00E56DAA">
        <w:rPr>
          <w:rFonts w:ascii="Times New Roman" w:eastAsia="Times New Roman" w:hAnsi="Times New Roman"/>
          <w:sz w:val="20"/>
          <w:szCs w:val="20"/>
        </w:rPr>
        <w:t>.</w:t>
      </w:r>
    </w:p>
    <w:p w:rsidR="00CC2721" w:rsidRDefault="00CC2721" w:rsidP="00850666">
      <w:pPr>
        <w:autoSpaceDE w:val="0"/>
        <w:autoSpaceDN w:val="0"/>
        <w:adjustRightInd w:val="0"/>
        <w:spacing w:after="0" w:line="360" w:lineRule="auto"/>
        <w:jc w:val="both"/>
        <w:rPr>
          <w:rFonts w:ascii="Times New Roman" w:eastAsia="Times New Roman" w:hAnsi="Times New Roman"/>
          <w:b/>
          <w:i/>
          <w:sz w:val="24"/>
          <w:szCs w:val="24"/>
        </w:rPr>
      </w:pPr>
    </w:p>
    <w:p w:rsidR="00CC2721" w:rsidRDefault="00CC2721" w:rsidP="00850666">
      <w:pPr>
        <w:autoSpaceDE w:val="0"/>
        <w:autoSpaceDN w:val="0"/>
        <w:adjustRightInd w:val="0"/>
        <w:spacing w:after="0" w:line="360" w:lineRule="auto"/>
        <w:jc w:val="both"/>
        <w:rPr>
          <w:rFonts w:ascii="Times New Roman" w:eastAsia="Times New Roman" w:hAnsi="Times New Roman"/>
          <w:b/>
          <w:i/>
          <w:sz w:val="24"/>
          <w:szCs w:val="24"/>
        </w:rPr>
      </w:pPr>
    </w:p>
    <w:p w:rsidR="00CC2721" w:rsidRDefault="00CC2721" w:rsidP="00850666">
      <w:pPr>
        <w:autoSpaceDE w:val="0"/>
        <w:autoSpaceDN w:val="0"/>
        <w:adjustRightInd w:val="0"/>
        <w:spacing w:after="0" w:line="360" w:lineRule="auto"/>
        <w:jc w:val="both"/>
        <w:rPr>
          <w:rFonts w:ascii="Times New Roman" w:eastAsia="Times New Roman" w:hAnsi="Times New Roman"/>
          <w:b/>
          <w:i/>
          <w:sz w:val="24"/>
          <w:szCs w:val="24"/>
        </w:rPr>
      </w:pPr>
    </w:p>
    <w:p w:rsidR="00E56DAA" w:rsidRDefault="00E56DAA" w:rsidP="00850666">
      <w:pPr>
        <w:autoSpaceDE w:val="0"/>
        <w:autoSpaceDN w:val="0"/>
        <w:adjustRightInd w:val="0"/>
        <w:spacing w:after="0" w:line="360" w:lineRule="auto"/>
        <w:jc w:val="both"/>
        <w:rPr>
          <w:rFonts w:ascii="Times New Roman" w:eastAsia="Times New Roman" w:hAnsi="Times New Roman"/>
          <w:b/>
          <w:i/>
          <w:sz w:val="24"/>
          <w:szCs w:val="24"/>
        </w:rPr>
      </w:pPr>
    </w:p>
    <w:p w:rsidR="00360D28" w:rsidRPr="0088737D" w:rsidRDefault="00360D28" w:rsidP="00E56DAA">
      <w:pPr>
        <w:keepNext/>
        <w:autoSpaceDE w:val="0"/>
        <w:autoSpaceDN w:val="0"/>
        <w:adjustRightInd w:val="0"/>
        <w:spacing w:after="0" w:line="360" w:lineRule="auto"/>
        <w:jc w:val="both"/>
        <w:rPr>
          <w:rFonts w:ascii="Times New Roman" w:eastAsia="Times New Roman" w:hAnsi="Times New Roman"/>
          <w:b/>
          <w:i/>
          <w:sz w:val="24"/>
          <w:szCs w:val="24"/>
        </w:rPr>
      </w:pPr>
      <w:r w:rsidRPr="0088737D">
        <w:rPr>
          <w:rFonts w:ascii="Times New Roman" w:eastAsia="Times New Roman" w:hAnsi="Times New Roman"/>
          <w:b/>
          <w:i/>
          <w:sz w:val="24"/>
          <w:szCs w:val="24"/>
        </w:rPr>
        <w:t>Capital Expenditure</w:t>
      </w:r>
    </w:p>
    <w:p w:rsidR="007F50CE" w:rsidRDefault="007F50CE" w:rsidP="00850666">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Capital expenditure bore the brunt of revenue crunch in 2019-20. While c</w:t>
      </w:r>
      <w:r w:rsidR="00660B76">
        <w:rPr>
          <w:rFonts w:ascii="Times New Roman" w:eastAsia="Times New Roman" w:hAnsi="Times New Roman"/>
          <w:sz w:val="24"/>
          <w:szCs w:val="24"/>
        </w:rPr>
        <w:t xml:space="preserve">apital </w:t>
      </w:r>
      <w:r w:rsidR="000F0A95">
        <w:rPr>
          <w:rFonts w:ascii="Times New Roman" w:eastAsia="Times New Roman" w:hAnsi="Times New Roman"/>
          <w:sz w:val="24"/>
          <w:szCs w:val="24"/>
        </w:rPr>
        <w:t xml:space="preserve">expenditure </w:t>
      </w:r>
      <w:r>
        <w:rPr>
          <w:rFonts w:ascii="Times New Roman" w:eastAsia="Times New Roman" w:hAnsi="Times New Roman"/>
          <w:sz w:val="24"/>
          <w:szCs w:val="24"/>
        </w:rPr>
        <w:t xml:space="preserve">is considered crucial for </w:t>
      </w:r>
      <w:r w:rsidR="003E02F0">
        <w:rPr>
          <w:rFonts w:ascii="Times New Roman" w:eastAsia="Times New Roman" w:hAnsi="Times New Roman"/>
          <w:sz w:val="24"/>
          <w:szCs w:val="24"/>
        </w:rPr>
        <w:t>creat</w:t>
      </w:r>
      <w:r>
        <w:rPr>
          <w:rFonts w:ascii="Times New Roman" w:eastAsia="Times New Roman" w:hAnsi="Times New Roman"/>
          <w:sz w:val="24"/>
          <w:szCs w:val="24"/>
        </w:rPr>
        <w:t xml:space="preserve">ing </w:t>
      </w:r>
      <w:r w:rsidR="007F0E0E">
        <w:rPr>
          <w:rFonts w:ascii="Times New Roman" w:eastAsia="Times New Roman" w:hAnsi="Times New Roman"/>
          <w:sz w:val="24"/>
          <w:szCs w:val="24"/>
        </w:rPr>
        <w:t>social and economic infrastructure</w:t>
      </w:r>
      <w:r w:rsidR="00B57766">
        <w:rPr>
          <w:rFonts w:ascii="Times New Roman" w:eastAsia="Times New Roman" w:hAnsi="Times New Roman"/>
          <w:sz w:val="24"/>
          <w:szCs w:val="24"/>
        </w:rPr>
        <w:t xml:space="preserve">, </w:t>
      </w:r>
      <w:r w:rsidR="007F0E0E">
        <w:rPr>
          <w:rFonts w:ascii="Times New Roman" w:eastAsia="Times New Roman" w:hAnsi="Times New Roman"/>
          <w:sz w:val="24"/>
          <w:szCs w:val="24"/>
        </w:rPr>
        <w:t xml:space="preserve">often </w:t>
      </w:r>
      <w:r>
        <w:rPr>
          <w:rFonts w:ascii="Times New Roman" w:eastAsia="Times New Roman" w:hAnsi="Times New Roman"/>
          <w:sz w:val="24"/>
          <w:szCs w:val="24"/>
        </w:rPr>
        <w:t xml:space="preserve">it </w:t>
      </w:r>
      <w:r w:rsidR="007F0E0E">
        <w:rPr>
          <w:rFonts w:ascii="Times New Roman" w:eastAsia="Times New Roman" w:hAnsi="Times New Roman"/>
          <w:sz w:val="24"/>
          <w:szCs w:val="24"/>
        </w:rPr>
        <w:t xml:space="preserve">becomes residuary in the system depending upon availability of resources and other recurrent expenditure.   </w:t>
      </w:r>
      <w:r w:rsidR="003E02F0">
        <w:rPr>
          <w:rFonts w:ascii="Times New Roman" w:eastAsia="Times New Roman" w:hAnsi="Times New Roman"/>
          <w:sz w:val="24"/>
          <w:szCs w:val="24"/>
        </w:rPr>
        <w:t xml:space="preserve">Although, </w:t>
      </w:r>
      <w:r w:rsidR="007F0E0E">
        <w:rPr>
          <w:rFonts w:ascii="Times New Roman" w:eastAsia="Times New Roman" w:hAnsi="Times New Roman"/>
          <w:sz w:val="24"/>
          <w:szCs w:val="24"/>
        </w:rPr>
        <w:t xml:space="preserve">it </w:t>
      </w:r>
      <w:r w:rsidR="00B07357">
        <w:rPr>
          <w:rFonts w:ascii="Times New Roman" w:eastAsia="Times New Roman" w:hAnsi="Times New Roman"/>
          <w:sz w:val="24"/>
          <w:szCs w:val="24"/>
        </w:rPr>
        <w:t xml:space="preserve">remained reasonably </w:t>
      </w:r>
      <w:r w:rsidR="00660B76">
        <w:rPr>
          <w:rFonts w:ascii="Times New Roman" w:eastAsia="Times New Roman" w:hAnsi="Times New Roman"/>
          <w:sz w:val="24"/>
          <w:szCs w:val="24"/>
        </w:rPr>
        <w:t xml:space="preserve">high </w:t>
      </w:r>
      <w:r w:rsidR="003E02F0">
        <w:rPr>
          <w:rFonts w:ascii="Times New Roman" w:eastAsia="Times New Roman" w:hAnsi="Times New Roman"/>
          <w:sz w:val="24"/>
          <w:szCs w:val="24"/>
        </w:rPr>
        <w:t>in the s</w:t>
      </w:r>
      <w:r w:rsidR="00B07357">
        <w:rPr>
          <w:rFonts w:ascii="Times New Roman" w:eastAsia="Times New Roman" w:hAnsi="Times New Roman"/>
          <w:sz w:val="24"/>
          <w:szCs w:val="24"/>
        </w:rPr>
        <w:t>tate as percentage to GSDP</w:t>
      </w:r>
      <w:r w:rsidR="003E02F0">
        <w:rPr>
          <w:rFonts w:ascii="Times New Roman" w:eastAsia="Times New Roman" w:hAnsi="Times New Roman"/>
          <w:sz w:val="24"/>
          <w:szCs w:val="24"/>
        </w:rPr>
        <w:t xml:space="preserve"> over the years</w:t>
      </w:r>
      <w:r w:rsidR="00B07357">
        <w:rPr>
          <w:rFonts w:ascii="Times New Roman" w:eastAsia="Times New Roman" w:hAnsi="Times New Roman"/>
          <w:sz w:val="24"/>
          <w:szCs w:val="24"/>
        </w:rPr>
        <w:t xml:space="preserve">, </w:t>
      </w:r>
      <w:r w:rsidR="003E02F0">
        <w:rPr>
          <w:rFonts w:ascii="Times New Roman" w:eastAsia="Times New Roman" w:hAnsi="Times New Roman"/>
          <w:sz w:val="24"/>
          <w:szCs w:val="24"/>
        </w:rPr>
        <w:t xml:space="preserve">a declining trend </w:t>
      </w:r>
      <w:r w:rsidR="00B57766">
        <w:rPr>
          <w:rFonts w:ascii="Times New Roman" w:eastAsia="Times New Roman" w:hAnsi="Times New Roman"/>
          <w:sz w:val="24"/>
          <w:szCs w:val="24"/>
        </w:rPr>
        <w:t xml:space="preserve">was </w:t>
      </w:r>
      <w:r w:rsidR="003E02F0">
        <w:rPr>
          <w:rFonts w:ascii="Times New Roman" w:eastAsia="Times New Roman" w:hAnsi="Times New Roman"/>
          <w:sz w:val="24"/>
          <w:szCs w:val="24"/>
        </w:rPr>
        <w:t xml:space="preserve">perceived due to resource </w:t>
      </w:r>
      <w:r>
        <w:rPr>
          <w:rFonts w:ascii="Times New Roman" w:eastAsia="Times New Roman" w:hAnsi="Times New Roman"/>
          <w:sz w:val="24"/>
          <w:szCs w:val="24"/>
        </w:rPr>
        <w:t>problem</w:t>
      </w:r>
      <w:r w:rsidR="003E02F0">
        <w:rPr>
          <w:rFonts w:ascii="Times New Roman" w:eastAsia="Times New Roman" w:hAnsi="Times New Roman"/>
          <w:sz w:val="24"/>
          <w:szCs w:val="24"/>
        </w:rPr>
        <w:t>, particularly after decline in central grants following FC-XIV</w:t>
      </w:r>
      <w:r w:rsidR="007F0E0E">
        <w:rPr>
          <w:rFonts w:ascii="Times New Roman" w:eastAsia="Times New Roman" w:hAnsi="Times New Roman"/>
          <w:sz w:val="24"/>
          <w:szCs w:val="24"/>
        </w:rPr>
        <w:t xml:space="preserve"> </w:t>
      </w:r>
      <w:r w:rsidR="003E02F0">
        <w:rPr>
          <w:rFonts w:ascii="Times New Roman" w:eastAsia="Times New Roman" w:hAnsi="Times New Roman"/>
          <w:sz w:val="24"/>
          <w:szCs w:val="24"/>
        </w:rPr>
        <w:t>recommendation.</w:t>
      </w:r>
      <w:r w:rsidR="006E5FFA">
        <w:rPr>
          <w:rFonts w:ascii="Times New Roman" w:eastAsia="Times New Roman" w:hAnsi="Times New Roman"/>
          <w:sz w:val="24"/>
          <w:szCs w:val="24"/>
        </w:rPr>
        <w:t xml:space="preserve"> </w:t>
      </w:r>
      <w:r>
        <w:rPr>
          <w:rFonts w:ascii="Times New Roman" w:eastAsia="Times New Roman" w:hAnsi="Times New Roman"/>
          <w:sz w:val="24"/>
          <w:szCs w:val="24"/>
        </w:rPr>
        <w:t xml:space="preserve">In 2019-20 capital expenditure as percentage to GSDP has plunged to its lowest.  </w:t>
      </w:r>
    </w:p>
    <w:p w:rsidR="007F50CE" w:rsidRDefault="007F50CE" w:rsidP="00850666">
      <w:pPr>
        <w:autoSpaceDE w:val="0"/>
        <w:autoSpaceDN w:val="0"/>
        <w:adjustRightInd w:val="0"/>
        <w:spacing w:after="0" w:line="360" w:lineRule="auto"/>
        <w:jc w:val="both"/>
        <w:rPr>
          <w:rFonts w:ascii="Times New Roman" w:eastAsia="Times New Roman" w:hAnsi="Times New Roman"/>
          <w:sz w:val="24"/>
          <w:szCs w:val="24"/>
        </w:rPr>
      </w:pPr>
    </w:p>
    <w:p w:rsidR="00DF10A3" w:rsidRDefault="006E5FFA" w:rsidP="00850666">
      <w:pPr>
        <w:autoSpaceDE w:val="0"/>
        <w:autoSpaceDN w:val="0"/>
        <w:adjustRightInd w:val="0"/>
        <w:spacing w:after="0" w:line="360" w:lineRule="auto"/>
        <w:jc w:val="both"/>
        <w:rPr>
          <w:rFonts w:ascii="Times New Roman" w:eastAsia="Times New Roman" w:hAnsi="Times New Roman"/>
          <w:sz w:val="24"/>
          <w:szCs w:val="24"/>
        </w:rPr>
      </w:pPr>
      <w:r w:rsidRPr="006E5FFA">
        <w:rPr>
          <w:rFonts w:ascii="Times New Roman" w:eastAsia="Times New Roman" w:hAnsi="Times New Roman"/>
          <w:sz w:val="24"/>
          <w:szCs w:val="24"/>
        </w:rPr>
        <w:t xml:space="preserve">The capital </w:t>
      </w:r>
      <w:r w:rsidR="00C80E9A">
        <w:rPr>
          <w:rFonts w:ascii="Times New Roman" w:eastAsia="Times New Roman" w:hAnsi="Times New Roman"/>
          <w:sz w:val="24"/>
          <w:szCs w:val="24"/>
        </w:rPr>
        <w:t xml:space="preserve">expenditure </w:t>
      </w:r>
      <w:r w:rsidRPr="006E5FFA">
        <w:rPr>
          <w:rFonts w:ascii="Times New Roman" w:eastAsia="Times New Roman" w:hAnsi="Times New Roman"/>
          <w:sz w:val="24"/>
          <w:szCs w:val="24"/>
        </w:rPr>
        <w:t>(</w:t>
      </w:r>
      <w:r w:rsidR="00C80E9A">
        <w:rPr>
          <w:rFonts w:ascii="Times New Roman" w:eastAsia="Times New Roman" w:hAnsi="Times New Roman"/>
          <w:sz w:val="24"/>
          <w:szCs w:val="24"/>
        </w:rPr>
        <w:t xml:space="preserve">taking </w:t>
      </w:r>
      <w:r w:rsidRPr="006E5FFA">
        <w:rPr>
          <w:rFonts w:ascii="Times New Roman" w:eastAsia="Times New Roman" w:hAnsi="Times New Roman"/>
          <w:sz w:val="24"/>
          <w:szCs w:val="24"/>
        </w:rPr>
        <w:t>general, social, and economic</w:t>
      </w:r>
      <w:r w:rsidR="00C80E9A">
        <w:rPr>
          <w:rFonts w:ascii="Times New Roman" w:eastAsia="Times New Roman" w:hAnsi="Times New Roman"/>
          <w:sz w:val="24"/>
          <w:szCs w:val="24"/>
        </w:rPr>
        <w:t xml:space="preserve"> services and of loans and advances</w:t>
      </w:r>
      <w:r w:rsidRPr="006E5FFA">
        <w:rPr>
          <w:rFonts w:ascii="Times New Roman" w:eastAsia="Times New Roman" w:hAnsi="Times New Roman"/>
          <w:sz w:val="24"/>
          <w:szCs w:val="24"/>
        </w:rPr>
        <w:t xml:space="preserve">) </w:t>
      </w:r>
      <w:r w:rsidR="007F50CE">
        <w:rPr>
          <w:rFonts w:ascii="Times New Roman" w:eastAsia="Times New Roman" w:hAnsi="Times New Roman"/>
          <w:sz w:val="24"/>
          <w:szCs w:val="24"/>
        </w:rPr>
        <w:t xml:space="preserve">declined </w:t>
      </w:r>
      <w:r w:rsidR="00C80E9A">
        <w:rPr>
          <w:rFonts w:ascii="Times New Roman" w:eastAsia="Times New Roman" w:hAnsi="Times New Roman"/>
          <w:sz w:val="24"/>
          <w:szCs w:val="24"/>
        </w:rPr>
        <w:t xml:space="preserve">in nominal terms </w:t>
      </w:r>
      <w:r w:rsidRPr="006E5FFA">
        <w:rPr>
          <w:rFonts w:ascii="Times New Roman" w:eastAsia="Times New Roman" w:hAnsi="Times New Roman"/>
          <w:sz w:val="24"/>
          <w:szCs w:val="24"/>
        </w:rPr>
        <w:t xml:space="preserve">from Rs. </w:t>
      </w:r>
      <w:r w:rsidR="00C80E9A">
        <w:rPr>
          <w:rFonts w:ascii="Times New Roman" w:eastAsia="Times New Roman" w:hAnsi="Times New Roman"/>
          <w:sz w:val="24"/>
          <w:szCs w:val="24"/>
        </w:rPr>
        <w:t>1336.11</w:t>
      </w:r>
      <w:r w:rsidRPr="006E5FFA">
        <w:rPr>
          <w:rFonts w:ascii="Times New Roman" w:eastAsia="Times New Roman" w:hAnsi="Times New Roman"/>
          <w:sz w:val="24"/>
          <w:szCs w:val="24"/>
        </w:rPr>
        <w:t xml:space="preserve"> </w:t>
      </w:r>
      <w:r w:rsidRPr="00B57766">
        <w:rPr>
          <w:rFonts w:ascii="Times New Roman" w:eastAsia="Times New Roman" w:hAnsi="Times New Roman"/>
          <w:sz w:val="24"/>
          <w:szCs w:val="24"/>
        </w:rPr>
        <w:t>crores in 201</w:t>
      </w:r>
      <w:r w:rsidR="00C80E9A">
        <w:rPr>
          <w:rFonts w:ascii="Times New Roman" w:eastAsia="Times New Roman" w:hAnsi="Times New Roman"/>
          <w:sz w:val="24"/>
          <w:szCs w:val="24"/>
        </w:rPr>
        <w:t xml:space="preserve">8-19 </w:t>
      </w:r>
      <w:r w:rsidRPr="00B57766">
        <w:rPr>
          <w:rFonts w:ascii="Times New Roman" w:eastAsia="Times New Roman" w:hAnsi="Times New Roman"/>
          <w:sz w:val="24"/>
          <w:szCs w:val="24"/>
        </w:rPr>
        <w:t xml:space="preserve">to Rs. </w:t>
      </w:r>
      <w:r w:rsidR="00C80E9A">
        <w:rPr>
          <w:rFonts w:ascii="Times New Roman" w:eastAsia="Times New Roman" w:hAnsi="Times New Roman"/>
          <w:sz w:val="24"/>
          <w:szCs w:val="24"/>
        </w:rPr>
        <w:t>737.38</w:t>
      </w:r>
      <w:r w:rsidRPr="00B57766">
        <w:rPr>
          <w:rFonts w:ascii="Times New Roman" w:eastAsia="Times New Roman" w:hAnsi="Times New Roman"/>
          <w:sz w:val="24"/>
          <w:szCs w:val="24"/>
        </w:rPr>
        <w:t xml:space="preserve"> crores in 201</w:t>
      </w:r>
      <w:r w:rsidR="00C80E9A">
        <w:rPr>
          <w:rFonts w:ascii="Times New Roman" w:eastAsia="Times New Roman" w:hAnsi="Times New Roman"/>
          <w:sz w:val="24"/>
          <w:szCs w:val="24"/>
        </w:rPr>
        <w:t>9-20</w:t>
      </w:r>
      <w:r w:rsidR="00294DF7" w:rsidRPr="00B57766">
        <w:rPr>
          <w:rFonts w:ascii="Times New Roman" w:eastAsia="Times New Roman" w:hAnsi="Times New Roman"/>
          <w:sz w:val="24"/>
          <w:szCs w:val="24"/>
        </w:rPr>
        <w:t xml:space="preserve"> (Figure </w:t>
      </w:r>
      <w:r w:rsidR="00B57766" w:rsidRPr="00B57766">
        <w:rPr>
          <w:rFonts w:ascii="Times New Roman" w:eastAsia="Times New Roman" w:hAnsi="Times New Roman"/>
          <w:sz w:val="24"/>
          <w:szCs w:val="24"/>
        </w:rPr>
        <w:t>3.</w:t>
      </w:r>
      <w:r w:rsidR="00575425">
        <w:rPr>
          <w:rFonts w:ascii="Times New Roman" w:eastAsia="Times New Roman" w:hAnsi="Times New Roman"/>
          <w:sz w:val="24"/>
          <w:szCs w:val="24"/>
        </w:rPr>
        <w:t>4</w:t>
      </w:r>
      <w:r w:rsidR="00294DF7" w:rsidRPr="00B57766">
        <w:rPr>
          <w:rFonts w:ascii="Times New Roman" w:eastAsia="Times New Roman" w:hAnsi="Times New Roman"/>
          <w:sz w:val="24"/>
          <w:szCs w:val="24"/>
        </w:rPr>
        <w:t>)</w:t>
      </w:r>
      <w:r w:rsidRPr="00B57766">
        <w:rPr>
          <w:rFonts w:ascii="Times New Roman" w:eastAsia="Times New Roman" w:hAnsi="Times New Roman"/>
          <w:sz w:val="24"/>
          <w:szCs w:val="24"/>
        </w:rPr>
        <w:t xml:space="preserve">. </w:t>
      </w:r>
      <w:r w:rsidR="00C80E9A">
        <w:rPr>
          <w:rFonts w:ascii="Times New Roman" w:eastAsia="Times New Roman" w:hAnsi="Times New Roman"/>
          <w:sz w:val="24"/>
          <w:szCs w:val="24"/>
        </w:rPr>
        <w:t xml:space="preserve">While capital expenditure has remained volatile in the state. There was an increasing trend from 2011-12 to 2014-15. </w:t>
      </w:r>
      <w:r w:rsidRPr="00B57766">
        <w:rPr>
          <w:rFonts w:ascii="Times New Roman" w:eastAsia="Times New Roman" w:hAnsi="Times New Roman"/>
          <w:sz w:val="24"/>
          <w:szCs w:val="24"/>
        </w:rPr>
        <w:t>However, in 2015-16, the</w:t>
      </w:r>
      <w:r w:rsidRPr="006E5FFA">
        <w:rPr>
          <w:rFonts w:ascii="Times New Roman" w:eastAsia="Times New Roman" w:hAnsi="Times New Roman"/>
          <w:sz w:val="24"/>
          <w:szCs w:val="24"/>
        </w:rPr>
        <w:t xml:space="preserve"> capital </w:t>
      </w:r>
      <w:r w:rsidR="00DF10A3">
        <w:rPr>
          <w:rFonts w:ascii="Times New Roman" w:eastAsia="Times New Roman" w:hAnsi="Times New Roman"/>
          <w:sz w:val="24"/>
          <w:szCs w:val="24"/>
        </w:rPr>
        <w:t xml:space="preserve">expenditure </w:t>
      </w:r>
      <w:r w:rsidRPr="006E5FFA">
        <w:rPr>
          <w:rFonts w:ascii="Times New Roman" w:eastAsia="Times New Roman" w:hAnsi="Times New Roman"/>
          <w:sz w:val="24"/>
          <w:szCs w:val="24"/>
        </w:rPr>
        <w:t>declined in nominal terms</w:t>
      </w:r>
      <w:r w:rsidR="00DF10A3">
        <w:rPr>
          <w:rFonts w:ascii="Times New Roman" w:eastAsia="Times New Roman" w:hAnsi="Times New Roman"/>
          <w:sz w:val="24"/>
          <w:szCs w:val="24"/>
        </w:rPr>
        <w:t xml:space="preserve"> and a</w:t>
      </w:r>
      <w:r w:rsidRPr="006E5FFA">
        <w:rPr>
          <w:rFonts w:ascii="Times New Roman" w:eastAsia="Times New Roman" w:hAnsi="Times New Roman"/>
          <w:sz w:val="24"/>
          <w:szCs w:val="24"/>
        </w:rPr>
        <w:t xml:space="preserve">s percentage to GSDP, </w:t>
      </w:r>
      <w:r w:rsidR="00DF10A3">
        <w:rPr>
          <w:rFonts w:ascii="Times New Roman" w:eastAsia="Times New Roman" w:hAnsi="Times New Roman"/>
          <w:sz w:val="24"/>
          <w:szCs w:val="24"/>
        </w:rPr>
        <w:t xml:space="preserve">it </w:t>
      </w:r>
      <w:r w:rsidRPr="006E5FFA">
        <w:rPr>
          <w:rFonts w:ascii="Times New Roman" w:eastAsia="Times New Roman" w:hAnsi="Times New Roman"/>
          <w:sz w:val="24"/>
          <w:szCs w:val="24"/>
        </w:rPr>
        <w:t>declined to 3.</w:t>
      </w:r>
      <w:r w:rsidR="008640DE">
        <w:rPr>
          <w:rFonts w:ascii="Times New Roman" w:eastAsia="Times New Roman" w:hAnsi="Times New Roman"/>
          <w:sz w:val="24"/>
          <w:szCs w:val="24"/>
        </w:rPr>
        <w:t xml:space="preserve">96 </w:t>
      </w:r>
      <w:r w:rsidRPr="006E5FFA">
        <w:rPr>
          <w:rFonts w:ascii="Times New Roman" w:eastAsia="Times New Roman" w:hAnsi="Times New Roman"/>
          <w:sz w:val="24"/>
          <w:szCs w:val="24"/>
        </w:rPr>
        <w:t>percent in 2015-16 from 6.</w:t>
      </w:r>
      <w:r w:rsidR="008640DE">
        <w:rPr>
          <w:rFonts w:ascii="Times New Roman" w:eastAsia="Times New Roman" w:hAnsi="Times New Roman"/>
          <w:sz w:val="24"/>
          <w:szCs w:val="24"/>
        </w:rPr>
        <w:t>93</w:t>
      </w:r>
      <w:r w:rsidRPr="006E5FFA">
        <w:rPr>
          <w:rFonts w:ascii="Times New Roman" w:eastAsia="Times New Roman" w:hAnsi="Times New Roman"/>
          <w:sz w:val="24"/>
          <w:szCs w:val="24"/>
        </w:rPr>
        <w:t xml:space="preserve"> percent in 2014-15</w:t>
      </w:r>
      <w:r w:rsidR="008640DE">
        <w:rPr>
          <w:rFonts w:ascii="Times New Roman" w:eastAsia="Times New Roman" w:hAnsi="Times New Roman"/>
          <w:sz w:val="24"/>
          <w:szCs w:val="24"/>
        </w:rPr>
        <w:t xml:space="preserve">. </w:t>
      </w:r>
      <w:r w:rsidRPr="006E5FFA">
        <w:rPr>
          <w:rFonts w:ascii="Times New Roman" w:eastAsia="Times New Roman" w:hAnsi="Times New Roman"/>
          <w:sz w:val="24"/>
          <w:szCs w:val="24"/>
        </w:rPr>
        <w:t xml:space="preserve">The decline in </w:t>
      </w:r>
      <w:r w:rsidR="00B57766">
        <w:rPr>
          <w:rFonts w:ascii="Times New Roman" w:eastAsia="Times New Roman" w:hAnsi="Times New Roman"/>
          <w:sz w:val="24"/>
          <w:szCs w:val="24"/>
        </w:rPr>
        <w:t>c</w:t>
      </w:r>
      <w:r w:rsidRPr="006E5FFA">
        <w:rPr>
          <w:rFonts w:ascii="Times New Roman" w:eastAsia="Times New Roman" w:hAnsi="Times New Roman"/>
          <w:sz w:val="24"/>
          <w:szCs w:val="24"/>
        </w:rPr>
        <w:t xml:space="preserve">entral grants after the recommendations of the </w:t>
      </w:r>
      <w:r w:rsidR="008640DE">
        <w:rPr>
          <w:rFonts w:ascii="Times New Roman" w:eastAsia="Times New Roman" w:hAnsi="Times New Roman"/>
          <w:sz w:val="24"/>
          <w:szCs w:val="24"/>
        </w:rPr>
        <w:t>FC-XIV</w:t>
      </w:r>
      <w:r w:rsidRPr="006E5FFA">
        <w:rPr>
          <w:rFonts w:ascii="Times New Roman" w:eastAsia="Times New Roman" w:hAnsi="Times New Roman"/>
          <w:sz w:val="24"/>
          <w:szCs w:val="24"/>
        </w:rPr>
        <w:t xml:space="preserve"> played an important role in the resource allocation relating to capital investment. </w:t>
      </w:r>
      <w:r w:rsidR="00DF10A3">
        <w:rPr>
          <w:rFonts w:ascii="Times New Roman" w:eastAsia="Times New Roman" w:hAnsi="Times New Roman"/>
          <w:sz w:val="24"/>
          <w:szCs w:val="24"/>
        </w:rPr>
        <w:t xml:space="preserve">In 2019-20, the decline was much more as capital expenditure </w:t>
      </w:r>
      <w:r w:rsidR="00E56DAA">
        <w:rPr>
          <w:rFonts w:ascii="Times New Roman" w:eastAsia="Times New Roman" w:hAnsi="Times New Roman"/>
          <w:sz w:val="24"/>
          <w:szCs w:val="24"/>
        </w:rPr>
        <w:t>a</w:t>
      </w:r>
      <w:r w:rsidR="00DF10A3">
        <w:rPr>
          <w:rFonts w:ascii="Times New Roman" w:eastAsia="Times New Roman" w:hAnsi="Times New Roman"/>
          <w:sz w:val="24"/>
          <w:szCs w:val="24"/>
        </w:rPr>
        <w:t>s percentage to GSDP fell to 2.27 percent as compared to 4.99 percent in 2018-19. In nominal terms the decline was to the extent of Rs.598.73 crores.  Although the year-on-year growth rate of capital outlay has remained highly unstable, the decline in 2019-20 was 44.81 percent.</w:t>
      </w:r>
    </w:p>
    <w:p w:rsidR="00DF10A3" w:rsidRDefault="00DF10A3" w:rsidP="00850666">
      <w:pPr>
        <w:autoSpaceDE w:val="0"/>
        <w:autoSpaceDN w:val="0"/>
        <w:adjustRightInd w:val="0"/>
        <w:spacing w:after="0" w:line="360" w:lineRule="auto"/>
        <w:jc w:val="both"/>
        <w:rPr>
          <w:rFonts w:ascii="Times New Roman" w:eastAsia="Times New Roman" w:hAnsi="Times New Roman"/>
          <w:sz w:val="24"/>
          <w:szCs w:val="24"/>
        </w:rPr>
      </w:pPr>
    </w:p>
    <w:p w:rsidR="0052500A" w:rsidRPr="002F2D1E" w:rsidRDefault="0052500A" w:rsidP="0052500A">
      <w:pPr>
        <w:autoSpaceDE w:val="0"/>
        <w:autoSpaceDN w:val="0"/>
        <w:adjustRightInd w:val="0"/>
        <w:spacing w:after="0" w:line="240" w:lineRule="auto"/>
        <w:jc w:val="center"/>
        <w:rPr>
          <w:rFonts w:ascii="Times New Roman" w:eastAsia="Times New Roman" w:hAnsi="Times New Roman"/>
          <w:b/>
        </w:rPr>
      </w:pPr>
      <w:r w:rsidRPr="002F2D1E">
        <w:rPr>
          <w:rFonts w:ascii="Times New Roman" w:eastAsia="Times New Roman" w:hAnsi="Times New Roman"/>
          <w:b/>
        </w:rPr>
        <w:t xml:space="preserve">Figure </w:t>
      </w:r>
      <w:r w:rsidR="00B57766">
        <w:rPr>
          <w:rFonts w:ascii="Times New Roman" w:eastAsia="Times New Roman" w:hAnsi="Times New Roman"/>
          <w:b/>
        </w:rPr>
        <w:t>3.</w:t>
      </w:r>
      <w:r w:rsidR="00575425">
        <w:rPr>
          <w:rFonts w:ascii="Times New Roman" w:eastAsia="Times New Roman" w:hAnsi="Times New Roman"/>
          <w:b/>
        </w:rPr>
        <w:t>4</w:t>
      </w:r>
    </w:p>
    <w:p w:rsidR="0052500A" w:rsidRDefault="00E56DAA" w:rsidP="0052500A">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Capital O</w:t>
      </w:r>
      <w:r w:rsidR="0052500A" w:rsidRPr="002F2D1E">
        <w:rPr>
          <w:rFonts w:ascii="Times New Roman" w:eastAsia="Times New Roman" w:hAnsi="Times New Roman"/>
          <w:b/>
        </w:rPr>
        <w:t>utlay in Sikkim</w:t>
      </w:r>
    </w:p>
    <w:p w:rsidR="00363536" w:rsidRDefault="00363536" w:rsidP="0052500A">
      <w:pPr>
        <w:autoSpaceDE w:val="0"/>
        <w:autoSpaceDN w:val="0"/>
        <w:adjustRightInd w:val="0"/>
        <w:spacing w:after="0" w:line="240" w:lineRule="auto"/>
        <w:jc w:val="center"/>
        <w:rPr>
          <w:rFonts w:ascii="Times New Roman" w:eastAsia="Times New Roman" w:hAnsi="Times New Roman"/>
          <w:b/>
        </w:rPr>
      </w:pPr>
    </w:p>
    <w:p w:rsidR="0052500A" w:rsidRDefault="00C80E9A" w:rsidP="00363536">
      <w:pPr>
        <w:tabs>
          <w:tab w:val="left" w:pos="3299"/>
        </w:tabs>
        <w:jc w:val="center"/>
        <w:rPr>
          <w:lang w:val="en-IN"/>
        </w:rPr>
      </w:pPr>
      <w:r>
        <w:rPr>
          <w:noProof/>
          <w:lang w:val="en-IN" w:eastAsia="en-IN"/>
        </w:rPr>
        <w:drawing>
          <wp:inline distT="0" distB="0" distL="0" distR="0" wp14:anchorId="6E9738EB" wp14:editId="63DE37D7">
            <wp:extent cx="5069434" cy="2501265"/>
            <wp:effectExtent l="0" t="0" r="17145"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02F0" w:rsidRDefault="003E02F0" w:rsidP="003E02F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The size of the capital outlay in the state usually is </w:t>
      </w:r>
      <w:r w:rsidR="00B57766">
        <w:rPr>
          <w:rFonts w:ascii="Times New Roman" w:eastAsia="Times New Roman" w:hAnsi="Times New Roman"/>
          <w:sz w:val="24"/>
          <w:szCs w:val="24"/>
        </w:rPr>
        <w:t>lin</w:t>
      </w:r>
      <w:r w:rsidR="00C80E9A">
        <w:rPr>
          <w:rFonts w:ascii="Times New Roman" w:eastAsia="Times New Roman" w:hAnsi="Times New Roman"/>
          <w:sz w:val="24"/>
          <w:szCs w:val="24"/>
        </w:rPr>
        <w:t>k</w:t>
      </w:r>
      <w:r w:rsidR="00B57766">
        <w:rPr>
          <w:rFonts w:ascii="Times New Roman" w:eastAsia="Times New Roman" w:hAnsi="Times New Roman"/>
          <w:sz w:val="24"/>
          <w:szCs w:val="24"/>
        </w:rPr>
        <w:t xml:space="preserve">ed with </w:t>
      </w:r>
      <w:r>
        <w:rPr>
          <w:rFonts w:ascii="Times New Roman" w:eastAsia="Times New Roman" w:hAnsi="Times New Roman"/>
          <w:sz w:val="24"/>
          <w:szCs w:val="24"/>
        </w:rPr>
        <w:t xml:space="preserve">provisions made in the CSS and other </w:t>
      </w:r>
      <w:r w:rsidR="00DF10A3">
        <w:rPr>
          <w:rFonts w:ascii="Times New Roman" w:eastAsia="Times New Roman" w:hAnsi="Times New Roman"/>
          <w:sz w:val="24"/>
          <w:szCs w:val="24"/>
        </w:rPr>
        <w:t>c</w:t>
      </w:r>
      <w:r>
        <w:rPr>
          <w:rFonts w:ascii="Times New Roman" w:eastAsia="Times New Roman" w:hAnsi="Times New Roman"/>
          <w:sz w:val="24"/>
          <w:szCs w:val="24"/>
        </w:rPr>
        <w:t xml:space="preserve">entral </w:t>
      </w:r>
      <w:r w:rsidRPr="00932C7C">
        <w:rPr>
          <w:rFonts w:ascii="Times New Roman" w:eastAsia="Times New Roman" w:hAnsi="Times New Roman"/>
          <w:sz w:val="24"/>
          <w:szCs w:val="24"/>
        </w:rPr>
        <w:t>programs th</w:t>
      </w:r>
      <w:r>
        <w:rPr>
          <w:rFonts w:ascii="Times New Roman" w:eastAsia="Times New Roman" w:hAnsi="Times New Roman"/>
          <w:sz w:val="24"/>
          <w:szCs w:val="24"/>
        </w:rPr>
        <w:t>r</w:t>
      </w:r>
      <w:r w:rsidRPr="00932C7C">
        <w:rPr>
          <w:rFonts w:ascii="Times New Roman" w:eastAsia="Times New Roman" w:hAnsi="Times New Roman"/>
          <w:sz w:val="24"/>
          <w:szCs w:val="24"/>
        </w:rPr>
        <w:t xml:space="preserve">ough NEC and NLCPR schemes. </w:t>
      </w:r>
      <w:r>
        <w:rPr>
          <w:rFonts w:ascii="Times New Roman" w:eastAsia="Times New Roman" w:hAnsi="Times New Roman"/>
          <w:sz w:val="24"/>
          <w:szCs w:val="24"/>
        </w:rPr>
        <w:t>The state borrowing, which is usually spent on capital outlay, is limited to t</w:t>
      </w:r>
      <w:r w:rsidR="00B57766">
        <w:rPr>
          <w:rFonts w:ascii="Times New Roman" w:eastAsia="Times New Roman" w:hAnsi="Times New Roman"/>
          <w:sz w:val="24"/>
          <w:szCs w:val="24"/>
        </w:rPr>
        <w:t>he ceilings fixed by the ce</w:t>
      </w:r>
      <w:r>
        <w:rPr>
          <w:rFonts w:ascii="Times New Roman" w:eastAsia="Times New Roman" w:hAnsi="Times New Roman"/>
          <w:sz w:val="24"/>
          <w:szCs w:val="24"/>
        </w:rPr>
        <w:t xml:space="preserve">ntral </w:t>
      </w:r>
      <w:r w:rsidR="00B57766">
        <w:rPr>
          <w:rFonts w:ascii="Times New Roman" w:eastAsia="Times New Roman" w:hAnsi="Times New Roman"/>
          <w:sz w:val="24"/>
          <w:szCs w:val="24"/>
        </w:rPr>
        <w:t>g</w:t>
      </w:r>
      <w:r>
        <w:rPr>
          <w:rFonts w:ascii="Times New Roman" w:eastAsia="Times New Roman" w:hAnsi="Times New Roman"/>
          <w:sz w:val="24"/>
          <w:szCs w:val="24"/>
        </w:rPr>
        <w:t xml:space="preserve">overnment aligned with the fiscal deficit target stipulated by the FRBM Act. Thus, the capital outlay will continue to vary depending upon the flow of funds under the central programs and level of resources generated by the </w:t>
      </w:r>
      <w:r w:rsidR="00B57766">
        <w:rPr>
          <w:rFonts w:ascii="Times New Roman" w:eastAsia="Times New Roman" w:hAnsi="Times New Roman"/>
          <w:sz w:val="24"/>
          <w:szCs w:val="24"/>
        </w:rPr>
        <w:t>s</w:t>
      </w:r>
      <w:r>
        <w:rPr>
          <w:rFonts w:ascii="Times New Roman" w:eastAsia="Times New Roman" w:hAnsi="Times New Roman"/>
          <w:sz w:val="24"/>
          <w:szCs w:val="24"/>
        </w:rPr>
        <w:t>tate. Decline of capital outlay in 201</w:t>
      </w:r>
      <w:r w:rsidR="00DF10A3">
        <w:rPr>
          <w:rFonts w:ascii="Times New Roman" w:eastAsia="Times New Roman" w:hAnsi="Times New Roman"/>
          <w:sz w:val="24"/>
          <w:szCs w:val="24"/>
        </w:rPr>
        <w:t>9</w:t>
      </w:r>
      <w:r>
        <w:rPr>
          <w:rFonts w:ascii="Times New Roman" w:eastAsia="Times New Roman" w:hAnsi="Times New Roman"/>
          <w:sz w:val="24"/>
          <w:szCs w:val="24"/>
        </w:rPr>
        <w:t>-</w:t>
      </w:r>
      <w:r w:rsidR="00DF10A3">
        <w:rPr>
          <w:rFonts w:ascii="Times New Roman" w:eastAsia="Times New Roman" w:hAnsi="Times New Roman"/>
          <w:sz w:val="24"/>
          <w:szCs w:val="24"/>
        </w:rPr>
        <w:t>20</w:t>
      </w:r>
      <w:r>
        <w:rPr>
          <w:rFonts w:ascii="Times New Roman" w:eastAsia="Times New Roman" w:hAnsi="Times New Roman"/>
          <w:sz w:val="24"/>
          <w:szCs w:val="24"/>
        </w:rPr>
        <w:t xml:space="preserve"> is symptomatic of resource trade-off faced by the government in budget management.</w:t>
      </w:r>
      <w:r w:rsidRPr="006E5FFA">
        <w:rPr>
          <w:rFonts w:ascii="Times New Roman" w:eastAsia="Times New Roman" w:hAnsi="Times New Roman"/>
          <w:sz w:val="24"/>
          <w:szCs w:val="24"/>
        </w:rPr>
        <w:t xml:space="preserve"> It is important for the </w:t>
      </w:r>
      <w:r>
        <w:rPr>
          <w:rFonts w:ascii="Times New Roman" w:eastAsia="Times New Roman" w:hAnsi="Times New Roman"/>
          <w:sz w:val="24"/>
          <w:szCs w:val="24"/>
        </w:rPr>
        <w:t>s</w:t>
      </w:r>
      <w:r w:rsidRPr="006E5FFA">
        <w:rPr>
          <w:rFonts w:ascii="Times New Roman" w:eastAsia="Times New Roman" w:hAnsi="Times New Roman"/>
          <w:sz w:val="24"/>
          <w:szCs w:val="24"/>
        </w:rPr>
        <w:t xml:space="preserve">tate </w:t>
      </w:r>
      <w:r>
        <w:rPr>
          <w:rFonts w:ascii="Times New Roman" w:eastAsia="Times New Roman" w:hAnsi="Times New Roman"/>
          <w:sz w:val="24"/>
          <w:szCs w:val="24"/>
        </w:rPr>
        <w:t>g</w:t>
      </w:r>
      <w:r w:rsidRPr="006E5FFA">
        <w:rPr>
          <w:rFonts w:ascii="Times New Roman" w:eastAsia="Times New Roman" w:hAnsi="Times New Roman"/>
          <w:sz w:val="24"/>
          <w:szCs w:val="24"/>
        </w:rPr>
        <w:t xml:space="preserve">overnment to invest efficiently by following the principles of public investment management as capital outlay has a major role to play in stimulating the rate of growth of the state economy. The </w:t>
      </w:r>
      <w:r>
        <w:rPr>
          <w:rFonts w:ascii="Times New Roman" w:eastAsia="Times New Roman" w:hAnsi="Times New Roman"/>
          <w:sz w:val="24"/>
          <w:szCs w:val="24"/>
        </w:rPr>
        <w:t>s</w:t>
      </w:r>
      <w:r w:rsidRPr="006E5FFA">
        <w:rPr>
          <w:rFonts w:ascii="Times New Roman" w:eastAsia="Times New Roman" w:hAnsi="Times New Roman"/>
          <w:sz w:val="24"/>
          <w:szCs w:val="24"/>
        </w:rPr>
        <w:t>tate government should finance identified public investments with high social returns.</w:t>
      </w:r>
    </w:p>
    <w:p w:rsidR="00AA5CF8" w:rsidRDefault="00AA5CF8" w:rsidP="00AA5CF8">
      <w:pPr>
        <w:autoSpaceDE w:val="0"/>
        <w:autoSpaceDN w:val="0"/>
        <w:adjustRightInd w:val="0"/>
        <w:spacing w:after="0" w:line="360" w:lineRule="auto"/>
        <w:jc w:val="both"/>
        <w:rPr>
          <w:rFonts w:ascii="Times New Roman" w:eastAsia="Times New Roman" w:hAnsi="Times New Roman"/>
          <w:sz w:val="24"/>
          <w:szCs w:val="24"/>
        </w:rPr>
      </w:pPr>
    </w:p>
    <w:p w:rsidR="006E5FFA" w:rsidRPr="00360D28" w:rsidRDefault="00360D28" w:rsidP="00AA5CF8">
      <w:pPr>
        <w:autoSpaceDE w:val="0"/>
        <w:autoSpaceDN w:val="0"/>
        <w:adjustRightInd w:val="0"/>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3.4 </w:t>
      </w:r>
      <w:r w:rsidR="006E5FFA" w:rsidRPr="00360D28">
        <w:rPr>
          <w:rFonts w:ascii="Times New Roman" w:eastAsia="Times New Roman" w:hAnsi="Times New Roman"/>
          <w:b/>
          <w:sz w:val="24"/>
          <w:szCs w:val="24"/>
        </w:rPr>
        <w:t>Aggregate Spending Pattern</w:t>
      </w:r>
      <w:r>
        <w:rPr>
          <w:rFonts w:ascii="Times New Roman" w:eastAsia="Times New Roman" w:hAnsi="Times New Roman"/>
          <w:b/>
          <w:sz w:val="24"/>
          <w:szCs w:val="24"/>
        </w:rPr>
        <w:t xml:space="preserve"> and Priority Areas</w:t>
      </w:r>
    </w:p>
    <w:p w:rsidR="006E5FFA" w:rsidRDefault="006E5FFA" w:rsidP="00AA5CF8">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6E5FFA" w:rsidRPr="00360D28" w:rsidRDefault="00784B00" w:rsidP="00314344">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Aggregate spending pattern, t</w:t>
      </w:r>
      <w:r w:rsidR="00A018BA" w:rsidRPr="001C5E87">
        <w:rPr>
          <w:rFonts w:ascii="Times New Roman" w:eastAsia="Times New Roman" w:hAnsi="Times New Roman"/>
          <w:sz w:val="24"/>
          <w:szCs w:val="24"/>
        </w:rPr>
        <w:t>aking both the capital and revenue expenditure</w:t>
      </w:r>
      <w:r w:rsidR="00A018BA">
        <w:rPr>
          <w:rFonts w:ascii="Times New Roman" w:eastAsia="Times New Roman" w:hAnsi="Times New Roman"/>
          <w:sz w:val="24"/>
          <w:szCs w:val="24"/>
        </w:rPr>
        <w:t xml:space="preserve">, gives </w:t>
      </w:r>
      <w:r>
        <w:rPr>
          <w:rFonts w:ascii="Times New Roman" w:eastAsia="Times New Roman" w:hAnsi="Times New Roman"/>
          <w:sz w:val="24"/>
          <w:szCs w:val="24"/>
        </w:rPr>
        <w:t xml:space="preserve">a </w:t>
      </w:r>
      <w:r w:rsidR="00A018BA">
        <w:rPr>
          <w:rFonts w:ascii="Times New Roman" w:eastAsia="Times New Roman" w:hAnsi="Times New Roman"/>
          <w:sz w:val="24"/>
          <w:szCs w:val="24"/>
        </w:rPr>
        <w:t>perspective o</w:t>
      </w:r>
      <w:r>
        <w:rPr>
          <w:rFonts w:ascii="Times New Roman" w:eastAsia="Times New Roman" w:hAnsi="Times New Roman"/>
          <w:sz w:val="24"/>
          <w:szCs w:val="24"/>
        </w:rPr>
        <w:t>n</w:t>
      </w:r>
      <w:r w:rsidR="00A018BA">
        <w:rPr>
          <w:rFonts w:ascii="Times New Roman" w:eastAsia="Times New Roman" w:hAnsi="Times New Roman"/>
          <w:sz w:val="24"/>
          <w:szCs w:val="24"/>
        </w:rPr>
        <w:t xml:space="preserve"> </w:t>
      </w:r>
      <w:r w:rsidR="001C5E87" w:rsidRPr="001C5E87">
        <w:rPr>
          <w:rFonts w:ascii="Times New Roman" w:eastAsia="Times New Roman" w:hAnsi="Times New Roman"/>
          <w:sz w:val="24"/>
          <w:szCs w:val="24"/>
        </w:rPr>
        <w:t>spending priorities of the Government and the emerging focus areas</w:t>
      </w:r>
      <w:r w:rsidR="00A018BA">
        <w:rPr>
          <w:rFonts w:ascii="Times New Roman" w:eastAsia="Times New Roman" w:hAnsi="Times New Roman"/>
          <w:sz w:val="24"/>
          <w:szCs w:val="24"/>
        </w:rPr>
        <w:t xml:space="preserve">. </w:t>
      </w:r>
      <w:r w:rsidR="001C5E87" w:rsidRPr="001C5E87">
        <w:rPr>
          <w:rFonts w:ascii="Times New Roman" w:eastAsia="Times New Roman" w:hAnsi="Times New Roman"/>
          <w:sz w:val="24"/>
          <w:szCs w:val="24"/>
        </w:rPr>
        <w:t xml:space="preserve">The composition of aggregate expenditure shows that on an average the </w:t>
      </w:r>
      <w:r w:rsidR="00C76503">
        <w:rPr>
          <w:rFonts w:ascii="Times New Roman" w:eastAsia="Times New Roman" w:hAnsi="Times New Roman"/>
          <w:sz w:val="24"/>
          <w:szCs w:val="24"/>
        </w:rPr>
        <w:t xml:space="preserve">total expenditure net of debt repayment </w:t>
      </w:r>
      <w:r w:rsidR="006500DC">
        <w:rPr>
          <w:rFonts w:ascii="Times New Roman" w:eastAsia="Times New Roman" w:hAnsi="Times New Roman"/>
          <w:sz w:val="24"/>
          <w:szCs w:val="24"/>
        </w:rPr>
        <w:t>available to the g</w:t>
      </w:r>
      <w:r w:rsidR="000F49F7">
        <w:rPr>
          <w:rFonts w:ascii="Times New Roman" w:eastAsia="Times New Roman" w:hAnsi="Times New Roman"/>
          <w:sz w:val="24"/>
          <w:szCs w:val="24"/>
        </w:rPr>
        <w:t xml:space="preserve">overnment to be utilized </w:t>
      </w:r>
      <w:r w:rsidR="000F49F7" w:rsidRPr="001C5E87">
        <w:rPr>
          <w:rFonts w:ascii="Times New Roman" w:eastAsia="Times New Roman" w:hAnsi="Times New Roman"/>
          <w:sz w:val="24"/>
          <w:szCs w:val="24"/>
        </w:rPr>
        <w:t xml:space="preserve">on various sectors and </w:t>
      </w:r>
      <w:r w:rsidR="000F49F7" w:rsidRPr="00360D28">
        <w:rPr>
          <w:rFonts w:ascii="Times New Roman" w:eastAsia="Times New Roman" w:hAnsi="Times New Roman"/>
          <w:sz w:val="24"/>
          <w:szCs w:val="24"/>
        </w:rPr>
        <w:t>administrative services was about 9</w:t>
      </w:r>
      <w:r w:rsidRPr="00360D28">
        <w:rPr>
          <w:rFonts w:ascii="Times New Roman" w:eastAsia="Times New Roman" w:hAnsi="Times New Roman"/>
          <w:sz w:val="24"/>
          <w:szCs w:val="24"/>
        </w:rPr>
        <w:t>5.</w:t>
      </w:r>
      <w:r w:rsidR="000A1AC8">
        <w:rPr>
          <w:rFonts w:ascii="Times New Roman" w:eastAsia="Times New Roman" w:hAnsi="Times New Roman"/>
          <w:sz w:val="24"/>
          <w:szCs w:val="24"/>
        </w:rPr>
        <w:t>70</w:t>
      </w:r>
      <w:r w:rsidR="000F49F7" w:rsidRPr="00360D28">
        <w:rPr>
          <w:rFonts w:ascii="Times New Roman" w:eastAsia="Times New Roman" w:hAnsi="Times New Roman"/>
          <w:sz w:val="24"/>
          <w:szCs w:val="24"/>
        </w:rPr>
        <w:t xml:space="preserve"> percent </w:t>
      </w:r>
      <w:r w:rsidR="00C76503" w:rsidRPr="00360D28">
        <w:rPr>
          <w:rFonts w:ascii="Times New Roman" w:eastAsia="Times New Roman" w:hAnsi="Times New Roman"/>
          <w:sz w:val="24"/>
          <w:szCs w:val="24"/>
        </w:rPr>
        <w:t>during 2011-12 to 201</w:t>
      </w:r>
      <w:r w:rsidR="000A1AC8">
        <w:rPr>
          <w:rFonts w:ascii="Times New Roman" w:eastAsia="Times New Roman" w:hAnsi="Times New Roman"/>
          <w:sz w:val="24"/>
          <w:szCs w:val="24"/>
        </w:rPr>
        <w:t>9</w:t>
      </w:r>
      <w:r w:rsidR="00C76503" w:rsidRPr="00360D28">
        <w:rPr>
          <w:rFonts w:ascii="Times New Roman" w:eastAsia="Times New Roman" w:hAnsi="Times New Roman"/>
          <w:sz w:val="24"/>
          <w:szCs w:val="24"/>
        </w:rPr>
        <w:t>-</w:t>
      </w:r>
      <w:r w:rsidR="000A1AC8">
        <w:rPr>
          <w:rFonts w:ascii="Times New Roman" w:eastAsia="Times New Roman" w:hAnsi="Times New Roman"/>
          <w:sz w:val="24"/>
          <w:szCs w:val="24"/>
        </w:rPr>
        <w:t>20</w:t>
      </w:r>
      <w:r w:rsidR="000F49F7" w:rsidRPr="00360D28">
        <w:rPr>
          <w:rFonts w:ascii="Times New Roman" w:eastAsia="Times New Roman" w:hAnsi="Times New Roman"/>
          <w:sz w:val="24"/>
          <w:szCs w:val="24"/>
        </w:rPr>
        <w:t xml:space="preserve"> </w:t>
      </w:r>
      <w:r w:rsidR="0046612E" w:rsidRPr="00360D28">
        <w:rPr>
          <w:rFonts w:ascii="Times New Roman" w:eastAsia="Times New Roman" w:hAnsi="Times New Roman"/>
          <w:sz w:val="24"/>
          <w:szCs w:val="24"/>
        </w:rPr>
        <w:t>(</w:t>
      </w:r>
      <w:r w:rsidR="00F902CD" w:rsidRPr="00360D28">
        <w:rPr>
          <w:rFonts w:ascii="Times New Roman" w:eastAsia="Times New Roman" w:hAnsi="Times New Roman"/>
          <w:sz w:val="24"/>
          <w:szCs w:val="24"/>
        </w:rPr>
        <w:t xml:space="preserve">Table </w:t>
      </w:r>
      <w:r w:rsidR="00360D28" w:rsidRPr="00360D28">
        <w:rPr>
          <w:rFonts w:ascii="Times New Roman" w:eastAsia="Times New Roman" w:hAnsi="Times New Roman"/>
          <w:sz w:val="24"/>
          <w:szCs w:val="24"/>
        </w:rPr>
        <w:t>3.6</w:t>
      </w:r>
      <w:r w:rsidR="0046612E" w:rsidRPr="00360D28">
        <w:rPr>
          <w:rFonts w:ascii="Times New Roman" w:eastAsia="Times New Roman" w:hAnsi="Times New Roman"/>
          <w:sz w:val="24"/>
          <w:szCs w:val="24"/>
        </w:rPr>
        <w:t xml:space="preserve">). </w:t>
      </w:r>
      <w:r w:rsidR="001C5E87" w:rsidRPr="00360D28">
        <w:rPr>
          <w:rFonts w:ascii="Times New Roman" w:eastAsia="Times New Roman" w:hAnsi="Times New Roman"/>
          <w:sz w:val="24"/>
          <w:szCs w:val="24"/>
        </w:rPr>
        <w:t xml:space="preserve">The relative share of </w:t>
      </w:r>
      <w:r w:rsidR="000F49F7" w:rsidRPr="00360D28">
        <w:rPr>
          <w:rFonts w:ascii="Times New Roman" w:eastAsia="Times New Roman" w:hAnsi="Times New Roman"/>
          <w:sz w:val="24"/>
          <w:szCs w:val="24"/>
        </w:rPr>
        <w:t>debt repayment and loans and advance</w:t>
      </w:r>
      <w:r w:rsidR="006500DC">
        <w:rPr>
          <w:rFonts w:ascii="Times New Roman" w:eastAsia="Times New Roman" w:hAnsi="Times New Roman"/>
          <w:sz w:val="24"/>
          <w:szCs w:val="24"/>
        </w:rPr>
        <w:t>s</w:t>
      </w:r>
      <w:r w:rsidR="000F49F7" w:rsidRPr="00360D28">
        <w:rPr>
          <w:rFonts w:ascii="Times New Roman" w:eastAsia="Times New Roman" w:hAnsi="Times New Roman"/>
          <w:sz w:val="24"/>
          <w:szCs w:val="24"/>
        </w:rPr>
        <w:t xml:space="preserve"> was 3.</w:t>
      </w:r>
      <w:r w:rsidR="000A1AC8">
        <w:rPr>
          <w:rFonts w:ascii="Times New Roman" w:eastAsia="Times New Roman" w:hAnsi="Times New Roman"/>
          <w:sz w:val="24"/>
          <w:szCs w:val="24"/>
        </w:rPr>
        <w:t>78</w:t>
      </w:r>
      <w:r w:rsidR="000F49F7" w:rsidRPr="00360D28">
        <w:rPr>
          <w:rFonts w:ascii="Times New Roman" w:eastAsia="Times New Roman" w:hAnsi="Times New Roman"/>
          <w:sz w:val="24"/>
          <w:szCs w:val="24"/>
        </w:rPr>
        <w:t xml:space="preserve"> and 0.5</w:t>
      </w:r>
      <w:r w:rsidR="000A1AC8">
        <w:rPr>
          <w:rFonts w:ascii="Times New Roman" w:eastAsia="Times New Roman" w:hAnsi="Times New Roman"/>
          <w:sz w:val="24"/>
          <w:szCs w:val="24"/>
        </w:rPr>
        <w:t>2</w:t>
      </w:r>
      <w:r w:rsidR="000F49F7" w:rsidRPr="00360D28">
        <w:rPr>
          <w:rFonts w:ascii="Times New Roman" w:eastAsia="Times New Roman" w:hAnsi="Times New Roman"/>
          <w:sz w:val="24"/>
          <w:szCs w:val="24"/>
        </w:rPr>
        <w:t xml:space="preserve"> percent respectively during the same period. </w:t>
      </w:r>
      <w:r w:rsidR="0046612E" w:rsidRPr="00360D28">
        <w:rPr>
          <w:rFonts w:ascii="Times New Roman" w:eastAsia="Times New Roman" w:hAnsi="Times New Roman"/>
          <w:sz w:val="24"/>
          <w:szCs w:val="24"/>
        </w:rPr>
        <w:t>Th</w:t>
      </w:r>
      <w:r w:rsidR="001C5E87" w:rsidRPr="00360D28">
        <w:rPr>
          <w:rFonts w:ascii="Times New Roman" w:eastAsia="Times New Roman" w:hAnsi="Times New Roman"/>
          <w:sz w:val="24"/>
          <w:szCs w:val="24"/>
        </w:rPr>
        <w:t xml:space="preserve">e </w:t>
      </w:r>
      <w:r w:rsidR="000F49F7" w:rsidRPr="00360D28">
        <w:rPr>
          <w:rFonts w:ascii="Times New Roman" w:eastAsia="Times New Roman" w:hAnsi="Times New Roman"/>
          <w:sz w:val="24"/>
          <w:szCs w:val="24"/>
        </w:rPr>
        <w:t xml:space="preserve">relative </w:t>
      </w:r>
      <w:r w:rsidR="001C5E87" w:rsidRPr="00360D28">
        <w:rPr>
          <w:rFonts w:ascii="Times New Roman" w:eastAsia="Times New Roman" w:hAnsi="Times New Roman"/>
          <w:sz w:val="24"/>
          <w:szCs w:val="24"/>
        </w:rPr>
        <w:t xml:space="preserve">share of debt repayment </w:t>
      </w:r>
      <w:r w:rsidR="0046612E" w:rsidRPr="00360D28">
        <w:rPr>
          <w:rFonts w:ascii="Times New Roman" w:eastAsia="Times New Roman" w:hAnsi="Times New Roman"/>
          <w:sz w:val="24"/>
          <w:szCs w:val="24"/>
        </w:rPr>
        <w:t xml:space="preserve">has </w:t>
      </w:r>
      <w:r w:rsidR="000F49F7" w:rsidRPr="00360D28">
        <w:rPr>
          <w:rFonts w:ascii="Times New Roman" w:eastAsia="Times New Roman" w:hAnsi="Times New Roman"/>
          <w:sz w:val="24"/>
          <w:szCs w:val="24"/>
        </w:rPr>
        <w:t xml:space="preserve">been showing an </w:t>
      </w:r>
      <w:r w:rsidR="0046612E" w:rsidRPr="00360D28">
        <w:rPr>
          <w:rFonts w:ascii="Times New Roman" w:eastAsia="Times New Roman" w:hAnsi="Times New Roman"/>
          <w:sz w:val="24"/>
          <w:szCs w:val="24"/>
        </w:rPr>
        <w:t>increas</w:t>
      </w:r>
      <w:r w:rsidR="000F49F7" w:rsidRPr="00360D28">
        <w:rPr>
          <w:rFonts w:ascii="Times New Roman" w:eastAsia="Times New Roman" w:hAnsi="Times New Roman"/>
          <w:sz w:val="24"/>
          <w:szCs w:val="24"/>
        </w:rPr>
        <w:t>ing trend from 1.5</w:t>
      </w:r>
      <w:r w:rsidRPr="00360D28">
        <w:rPr>
          <w:rFonts w:ascii="Times New Roman" w:eastAsia="Times New Roman" w:hAnsi="Times New Roman"/>
          <w:sz w:val="24"/>
          <w:szCs w:val="24"/>
        </w:rPr>
        <w:t>6</w:t>
      </w:r>
      <w:r w:rsidR="000F49F7" w:rsidRPr="00360D28">
        <w:rPr>
          <w:rFonts w:ascii="Times New Roman" w:eastAsia="Times New Roman" w:hAnsi="Times New Roman"/>
          <w:sz w:val="24"/>
          <w:szCs w:val="24"/>
        </w:rPr>
        <w:t xml:space="preserve"> percent in 2011-12 to 5.</w:t>
      </w:r>
      <w:r w:rsidR="000A1AC8">
        <w:rPr>
          <w:rFonts w:ascii="Times New Roman" w:eastAsia="Times New Roman" w:hAnsi="Times New Roman"/>
          <w:sz w:val="24"/>
          <w:szCs w:val="24"/>
        </w:rPr>
        <w:t>63</w:t>
      </w:r>
      <w:r w:rsidR="000F49F7" w:rsidRPr="00360D28">
        <w:rPr>
          <w:rFonts w:ascii="Times New Roman" w:eastAsia="Times New Roman" w:hAnsi="Times New Roman"/>
          <w:sz w:val="24"/>
          <w:szCs w:val="24"/>
        </w:rPr>
        <w:t xml:space="preserve"> percent in 201</w:t>
      </w:r>
      <w:r w:rsidR="00484FC5">
        <w:rPr>
          <w:rFonts w:ascii="Times New Roman" w:eastAsia="Times New Roman" w:hAnsi="Times New Roman"/>
          <w:sz w:val="24"/>
          <w:szCs w:val="24"/>
        </w:rPr>
        <w:t>9</w:t>
      </w:r>
      <w:r w:rsidR="000F49F7" w:rsidRPr="00360D28">
        <w:rPr>
          <w:rFonts w:ascii="Times New Roman" w:eastAsia="Times New Roman" w:hAnsi="Times New Roman"/>
          <w:sz w:val="24"/>
          <w:szCs w:val="24"/>
        </w:rPr>
        <w:t>-</w:t>
      </w:r>
      <w:r w:rsidR="00484FC5">
        <w:rPr>
          <w:rFonts w:ascii="Times New Roman" w:eastAsia="Times New Roman" w:hAnsi="Times New Roman"/>
          <w:sz w:val="24"/>
          <w:szCs w:val="24"/>
        </w:rPr>
        <w:t>20</w:t>
      </w:r>
      <w:r w:rsidR="000F49F7" w:rsidRPr="00360D28">
        <w:rPr>
          <w:rFonts w:ascii="Times New Roman" w:eastAsia="Times New Roman" w:hAnsi="Times New Roman"/>
          <w:sz w:val="24"/>
          <w:szCs w:val="24"/>
        </w:rPr>
        <w:t xml:space="preserve">. </w:t>
      </w:r>
    </w:p>
    <w:p w:rsidR="00A00267" w:rsidRPr="00360D28" w:rsidRDefault="00A00267" w:rsidP="00314344">
      <w:pPr>
        <w:autoSpaceDE w:val="0"/>
        <w:autoSpaceDN w:val="0"/>
        <w:adjustRightInd w:val="0"/>
        <w:spacing w:after="0" w:line="360" w:lineRule="auto"/>
        <w:jc w:val="both"/>
        <w:rPr>
          <w:rFonts w:ascii="Times New Roman" w:eastAsia="Times New Roman" w:hAnsi="Times New Roman"/>
          <w:sz w:val="24"/>
          <w:szCs w:val="24"/>
        </w:rPr>
      </w:pPr>
    </w:p>
    <w:p w:rsidR="00F72E78" w:rsidRPr="00360D28" w:rsidRDefault="00F902CD" w:rsidP="006500DC">
      <w:pPr>
        <w:autoSpaceDE w:val="0"/>
        <w:autoSpaceDN w:val="0"/>
        <w:adjustRightInd w:val="0"/>
        <w:spacing w:after="0" w:line="240" w:lineRule="auto"/>
        <w:ind w:firstLine="720"/>
        <w:jc w:val="center"/>
        <w:rPr>
          <w:rFonts w:ascii="Times New Roman" w:eastAsia="Times New Roman" w:hAnsi="Times New Roman"/>
          <w:b/>
        </w:rPr>
      </w:pPr>
      <w:r w:rsidRPr="00360D28">
        <w:rPr>
          <w:rFonts w:ascii="Times New Roman" w:eastAsia="Times New Roman" w:hAnsi="Times New Roman"/>
          <w:b/>
        </w:rPr>
        <w:t xml:space="preserve">Table </w:t>
      </w:r>
      <w:r w:rsidR="00360D28" w:rsidRPr="00360D28">
        <w:rPr>
          <w:rFonts w:ascii="Times New Roman" w:eastAsia="Times New Roman" w:hAnsi="Times New Roman"/>
          <w:b/>
        </w:rPr>
        <w:t>3.6</w:t>
      </w:r>
      <w:r w:rsidR="006500DC">
        <w:rPr>
          <w:rFonts w:ascii="Times New Roman" w:eastAsia="Times New Roman" w:hAnsi="Times New Roman"/>
          <w:b/>
        </w:rPr>
        <w:t xml:space="preserve">: </w:t>
      </w:r>
      <w:r w:rsidR="00F72E78" w:rsidRPr="00360D28">
        <w:rPr>
          <w:rFonts w:ascii="Times New Roman" w:eastAsia="Times New Roman" w:hAnsi="Times New Roman"/>
          <w:b/>
        </w:rPr>
        <w:t>Composition of Total Expenditure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776"/>
        <w:gridCol w:w="778"/>
        <w:gridCol w:w="776"/>
        <w:gridCol w:w="777"/>
        <w:gridCol w:w="775"/>
        <w:gridCol w:w="777"/>
        <w:gridCol w:w="777"/>
        <w:gridCol w:w="777"/>
        <w:gridCol w:w="772"/>
      </w:tblGrid>
      <w:tr w:rsidR="000A1AC8" w:rsidRPr="006500DC" w:rsidTr="006500DC">
        <w:trPr>
          <w:trHeight w:val="300"/>
        </w:trPr>
        <w:tc>
          <w:tcPr>
            <w:tcW w:w="1126" w:type="pct"/>
            <w:shd w:val="clear" w:color="auto" w:fill="auto"/>
            <w:noWrap/>
            <w:vAlign w:val="bottom"/>
            <w:hideMark/>
          </w:tcPr>
          <w:p w:rsidR="000A1AC8" w:rsidRPr="006500DC" w:rsidRDefault="000A1AC8" w:rsidP="00784B00">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Heads</w:t>
            </w:r>
          </w:p>
        </w:tc>
        <w:tc>
          <w:tcPr>
            <w:tcW w:w="430" w:type="pct"/>
            <w:shd w:val="clear" w:color="auto" w:fill="auto"/>
            <w:noWrap/>
            <w:vAlign w:val="bottom"/>
            <w:hideMark/>
          </w:tcPr>
          <w:p w:rsidR="000A1AC8" w:rsidRPr="006500DC" w:rsidRDefault="000A1AC8" w:rsidP="000A1AC8">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2011-12</w:t>
            </w:r>
          </w:p>
        </w:tc>
        <w:tc>
          <w:tcPr>
            <w:tcW w:w="431" w:type="pct"/>
            <w:shd w:val="clear" w:color="auto" w:fill="auto"/>
            <w:noWrap/>
            <w:vAlign w:val="bottom"/>
            <w:hideMark/>
          </w:tcPr>
          <w:p w:rsidR="000A1AC8" w:rsidRPr="006500DC" w:rsidRDefault="000A1AC8" w:rsidP="000A1AC8">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2012-13</w:t>
            </w:r>
          </w:p>
        </w:tc>
        <w:tc>
          <w:tcPr>
            <w:tcW w:w="430" w:type="pct"/>
            <w:shd w:val="clear" w:color="auto" w:fill="auto"/>
            <w:noWrap/>
            <w:vAlign w:val="bottom"/>
            <w:hideMark/>
          </w:tcPr>
          <w:p w:rsidR="000A1AC8" w:rsidRPr="006500DC" w:rsidRDefault="000A1AC8" w:rsidP="000A1AC8">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2013-14</w:t>
            </w:r>
          </w:p>
        </w:tc>
        <w:tc>
          <w:tcPr>
            <w:tcW w:w="431" w:type="pct"/>
            <w:shd w:val="clear" w:color="auto" w:fill="auto"/>
            <w:noWrap/>
            <w:vAlign w:val="bottom"/>
            <w:hideMark/>
          </w:tcPr>
          <w:p w:rsidR="000A1AC8" w:rsidRPr="006500DC" w:rsidRDefault="000A1AC8" w:rsidP="000A1AC8">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2014-15</w:t>
            </w:r>
          </w:p>
        </w:tc>
        <w:tc>
          <w:tcPr>
            <w:tcW w:w="430" w:type="pct"/>
            <w:shd w:val="clear" w:color="auto" w:fill="auto"/>
            <w:noWrap/>
            <w:vAlign w:val="bottom"/>
            <w:hideMark/>
          </w:tcPr>
          <w:p w:rsidR="000A1AC8" w:rsidRPr="006500DC" w:rsidRDefault="000A1AC8" w:rsidP="000A1AC8">
            <w:pPr>
              <w:spacing w:after="0" w:line="240" w:lineRule="auto"/>
              <w:jc w:val="center"/>
              <w:rPr>
                <w:rFonts w:ascii="Times New Roman" w:eastAsia="Times New Roman" w:hAnsi="Times New Roman"/>
                <w:b/>
                <w:bCs/>
                <w:lang w:val="en-IN" w:eastAsia="en-IN"/>
              </w:rPr>
            </w:pPr>
            <w:r w:rsidRPr="006500DC">
              <w:rPr>
                <w:rFonts w:ascii="Times New Roman" w:eastAsia="Times New Roman" w:hAnsi="Times New Roman"/>
                <w:b/>
                <w:bCs/>
                <w:lang w:val="en-IN" w:eastAsia="en-IN"/>
              </w:rPr>
              <w:t>2015-16</w:t>
            </w:r>
          </w:p>
        </w:tc>
        <w:tc>
          <w:tcPr>
            <w:tcW w:w="431" w:type="pct"/>
            <w:shd w:val="clear" w:color="auto" w:fill="auto"/>
            <w:noWrap/>
            <w:vAlign w:val="bottom"/>
            <w:hideMark/>
          </w:tcPr>
          <w:p w:rsidR="000A1AC8" w:rsidRPr="006500DC" w:rsidRDefault="000A1AC8" w:rsidP="000A1AC8">
            <w:pPr>
              <w:spacing w:after="0" w:line="240" w:lineRule="auto"/>
              <w:jc w:val="center"/>
              <w:rPr>
                <w:rFonts w:ascii="Times New Roman" w:eastAsia="Times New Roman" w:hAnsi="Times New Roman"/>
                <w:b/>
                <w:bCs/>
                <w:lang w:val="en-IN" w:eastAsia="en-IN"/>
              </w:rPr>
            </w:pPr>
            <w:r w:rsidRPr="006500DC">
              <w:rPr>
                <w:rFonts w:ascii="Times New Roman" w:eastAsia="Times New Roman" w:hAnsi="Times New Roman"/>
                <w:b/>
                <w:bCs/>
                <w:lang w:val="en-IN" w:eastAsia="en-IN"/>
              </w:rPr>
              <w:t>2016-17</w:t>
            </w:r>
          </w:p>
        </w:tc>
        <w:tc>
          <w:tcPr>
            <w:tcW w:w="431" w:type="pct"/>
            <w:shd w:val="clear" w:color="auto" w:fill="auto"/>
            <w:noWrap/>
            <w:vAlign w:val="bottom"/>
            <w:hideMark/>
          </w:tcPr>
          <w:p w:rsidR="000A1AC8" w:rsidRPr="006500DC" w:rsidRDefault="000A1AC8" w:rsidP="000A1AC8">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2017-18</w:t>
            </w:r>
          </w:p>
        </w:tc>
        <w:tc>
          <w:tcPr>
            <w:tcW w:w="431" w:type="pct"/>
            <w:vAlign w:val="bottom"/>
          </w:tcPr>
          <w:p w:rsidR="000A1AC8" w:rsidRPr="006500DC" w:rsidRDefault="000A1AC8" w:rsidP="000A1AC8">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2018-19</w:t>
            </w:r>
          </w:p>
        </w:tc>
        <w:tc>
          <w:tcPr>
            <w:tcW w:w="428" w:type="pct"/>
            <w:vAlign w:val="bottom"/>
          </w:tcPr>
          <w:p w:rsidR="000A1AC8" w:rsidRPr="006500DC" w:rsidRDefault="000A1AC8" w:rsidP="000A1AC8">
            <w:pPr>
              <w:spacing w:after="0" w:line="240" w:lineRule="auto"/>
              <w:jc w:val="center"/>
              <w:rPr>
                <w:rFonts w:ascii="Times New Roman" w:eastAsia="Times New Roman" w:hAnsi="Times New Roman"/>
                <w:b/>
                <w:bCs/>
                <w:color w:val="000000"/>
                <w:lang w:val="en-IN" w:eastAsia="en-IN"/>
              </w:rPr>
            </w:pPr>
            <w:r w:rsidRPr="006500DC">
              <w:rPr>
                <w:rFonts w:ascii="Times New Roman" w:eastAsia="Times New Roman" w:hAnsi="Times New Roman"/>
                <w:b/>
                <w:bCs/>
                <w:color w:val="000000"/>
                <w:lang w:val="en-IN" w:eastAsia="en-IN"/>
              </w:rPr>
              <w:t>2019-20</w:t>
            </w:r>
          </w:p>
        </w:tc>
      </w:tr>
      <w:tr w:rsidR="000A1AC8" w:rsidRPr="006500DC" w:rsidTr="006500DC">
        <w:trPr>
          <w:trHeight w:val="570"/>
        </w:trPr>
        <w:tc>
          <w:tcPr>
            <w:tcW w:w="1126" w:type="pct"/>
            <w:shd w:val="clear" w:color="auto" w:fill="auto"/>
            <w:vAlign w:val="bottom"/>
            <w:hideMark/>
          </w:tcPr>
          <w:p w:rsidR="000A1AC8" w:rsidRPr="006500DC" w:rsidRDefault="006500DC" w:rsidP="00E05875">
            <w:pPr>
              <w:spacing w:after="0" w:line="240" w:lineRule="auto"/>
              <w:rPr>
                <w:rFonts w:ascii="Times New Roman" w:eastAsia="Times New Roman" w:hAnsi="Times New Roman"/>
                <w:bCs/>
                <w:color w:val="000000"/>
                <w:lang w:val="en-IN" w:eastAsia="en-IN"/>
              </w:rPr>
            </w:pPr>
            <w:r>
              <w:rPr>
                <w:rFonts w:ascii="Times New Roman" w:eastAsia="Times New Roman" w:hAnsi="Times New Roman"/>
                <w:bCs/>
                <w:color w:val="000000"/>
                <w:lang w:val="en-IN" w:eastAsia="en-IN"/>
              </w:rPr>
              <w:t>Total Expenditure N</w:t>
            </w:r>
            <w:r w:rsidR="000A1AC8" w:rsidRPr="006500DC">
              <w:rPr>
                <w:rFonts w:ascii="Times New Roman" w:eastAsia="Times New Roman" w:hAnsi="Times New Roman"/>
                <w:bCs/>
                <w:color w:val="000000"/>
                <w:lang w:val="en-IN" w:eastAsia="en-IN"/>
              </w:rPr>
              <w:t>et of Debt Repayment</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96.89</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97.78</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97.55</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97.45</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95.04</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94.48</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94.02</w:t>
            </w:r>
          </w:p>
        </w:tc>
        <w:tc>
          <w:tcPr>
            <w:tcW w:w="431" w:type="pct"/>
            <w:vAlign w:val="bottom"/>
          </w:tcPr>
          <w:p w:rsidR="000A1AC8" w:rsidRPr="006500DC" w:rsidRDefault="000A1AC8" w:rsidP="000A1AC8">
            <w:pPr>
              <w:spacing w:after="0"/>
              <w:jc w:val="center"/>
              <w:rPr>
                <w:rFonts w:ascii="Times New Roman" w:hAnsi="Times New Roman"/>
              </w:rPr>
            </w:pPr>
            <w:r w:rsidRPr="006500DC">
              <w:rPr>
                <w:rFonts w:ascii="Times New Roman" w:hAnsi="Times New Roman"/>
              </w:rPr>
              <w:t>93.91</w:t>
            </w:r>
          </w:p>
        </w:tc>
        <w:tc>
          <w:tcPr>
            <w:tcW w:w="428" w:type="pct"/>
            <w:vAlign w:val="bottom"/>
          </w:tcPr>
          <w:p w:rsidR="000A1AC8" w:rsidRPr="006500DC" w:rsidRDefault="000A1AC8" w:rsidP="000A1AC8">
            <w:pPr>
              <w:spacing w:after="0"/>
              <w:jc w:val="center"/>
              <w:rPr>
                <w:rFonts w:ascii="Times New Roman" w:hAnsi="Times New Roman"/>
              </w:rPr>
            </w:pPr>
            <w:r w:rsidRPr="006500DC">
              <w:rPr>
                <w:rFonts w:ascii="Times New Roman" w:hAnsi="Times New Roman"/>
              </w:rPr>
              <w:t>94.14</w:t>
            </w:r>
          </w:p>
        </w:tc>
      </w:tr>
      <w:tr w:rsidR="000A1AC8" w:rsidRPr="006500DC" w:rsidTr="006500DC">
        <w:trPr>
          <w:trHeight w:val="556"/>
        </w:trPr>
        <w:tc>
          <w:tcPr>
            <w:tcW w:w="1126" w:type="pct"/>
            <w:shd w:val="clear" w:color="auto" w:fill="auto"/>
            <w:vAlign w:val="bottom"/>
            <w:hideMark/>
          </w:tcPr>
          <w:p w:rsidR="000A1AC8" w:rsidRPr="006500DC" w:rsidRDefault="000A1AC8" w:rsidP="00784B00">
            <w:pPr>
              <w:spacing w:after="0" w:line="240" w:lineRule="auto"/>
              <w:rPr>
                <w:rFonts w:ascii="Times New Roman" w:eastAsia="Times New Roman" w:hAnsi="Times New Roman"/>
                <w:bCs/>
                <w:color w:val="000000"/>
                <w:lang w:val="en-IN" w:eastAsia="en-IN"/>
              </w:rPr>
            </w:pPr>
            <w:r w:rsidRPr="006500DC">
              <w:rPr>
                <w:rFonts w:ascii="Times New Roman" w:eastAsia="Times New Roman" w:hAnsi="Times New Roman"/>
                <w:bCs/>
                <w:color w:val="000000"/>
                <w:lang w:val="en-IN" w:eastAsia="en-IN"/>
              </w:rPr>
              <w:t>Public Debt</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1.55</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2.08</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2.20</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1.96</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4.36</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5.16</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5.70</w:t>
            </w:r>
          </w:p>
        </w:tc>
        <w:tc>
          <w:tcPr>
            <w:tcW w:w="431" w:type="pct"/>
            <w:vAlign w:val="bottom"/>
          </w:tcPr>
          <w:p w:rsidR="000A1AC8" w:rsidRPr="006500DC" w:rsidRDefault="000A1AC8" w:rsidP="000A1AC8">
            <w:pPr>
              <w:spacing w:after="0"/>
              <w:jc w:val="center"/>
              <w:rPr>
                <w:rFonts w:ascii="Times New Roman" w:hAnsi="Times New Roman"/>
              </w:rPr>
            </w:pPr>
            <w:r w:rsidRPr="006500DC">
              <w:rPr>
                <w:rFonts w:ascii="Times New Roman" w:hAnsi="Times New Roman"/>
              </w:rPr>
              <w:t>5.42</w:t>
            </w:r>
          </w:p>
        </w:tc>
        <w:tc>
          <w:tcPr>
            <w:tcW w:w="428" w:type="pct"/>
            <w:vAlign w:val="bottom"/>
          </w:tcPr>
          <w:p w:rsidR="000A1AC8" w:rsidRPr="006500DC" w:rsidRDefault="000A1AC8" w:rsidP="000A1AC8">
            <w:pPr>
              <w:spacing w:after="0"/>
              <w:jc w:val="center"/>
              <w:rPr>
                <w:rFonts w:ascii="Times New Roman" w:hAnsi="Times New Roman"/>
              </w:rPr>
            </w:pPr>
            <w:r w:rsidRPr="006500DC">
              <w:rPr>
                <w:rFonts w:ascii="Times New Roman" w:hAnsi="Times New Roman"/>
              </w:rPr>
              <w:t>5.63</w:t>
            </w:r>
          </w:p>
        </w:tc>
      </w:tr>
      <w:tr w:rsidR="000A1AC8" w:rsidRPr="006500DC" w:rsidTr="006500DC">
        <w:trPr>
          <w:trHeight w:val="562"/>
        </w:trPr>
        <w:tc>
          <w:tcPr>
            <w:tcW w:w="1126" w:type="pct"/>
            <w:shd w:val="clear" w:color="auto" w:fill="auto"/>
            <w:vAlign w:val="bottom"/>
            <w:hideMark/>
          </w:tcPr>
          <w:p w:rsidR="000A1AC8" w:rsidRPr="006500DC" w:rsidRDefault="000A1AC8" w:rsidP="00784B00">
            <w:pPr>
              <w:spacing w:after="0" w:line="240" w:lineRule="auto"/>
              <w:rPr>
                <w:rFonts w:ascii="Times New Roman" w:eastAsia="Times New Roman" w:hAnsi="Times New Roman"/>
                <w:bCs/>
                <w:color w:val="000000"/>
                <w:lang w:val="en-IN" w:eastAsia="en-IN"/>
              </w:rPr>
            </w:pPr>
            <w:r w:rsidRPr="006500DC">
              <w:rPr>
                <w:rFonts w:ascii="Times New Roman" w:eastAsia="Times New Roman" w:hAnsi="Times New Roman"/>
                <w:bCs/>
                <w:color w:val="000000"/>
                <w:lang w:val="en-IN" w:eastAsia="en-IN"/>
              </w:rPr>
              <w:t>Loans and Advances</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1.56</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0.15</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0.25</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0.60</w:t>
            </w:r>
          </w:p>
        </w:tc>
        <w:tc>
          <w:tcPr>
            <w:tcW w:w="430"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0.60</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0.36</w:t>
            </w:r>
          </w:p>
        </w:tc>
        <w:tc>
          <w:tcPr>
            <w:tcW w:w="431" w:type="pct"/>
            <w:shd w:val="clear" w:color="auto" w:fill="auto"/>
            <w:noWrap/>
            <w:vAlign w:val="bottom"/>
            <w:hideMark/>
          </w:tcPr>
          <w:p w:rsidR="000A1AC8" w:rsidRPr="006500DC" w:rsidRDefault="000A1AC8" w:rsidP="000A1AC8">
            <w:pPr>
              <w:spacing w:after="0"/>
              <w:jc w:val="center"/>
              <w:rPr>
                <w:rFonts w:ascii="Times New Roman" w:hAnsi="Times New Roman"/>
              </w:rPr>
            </w:pPr>
            <w:r w:rsidRPr="006500DC">
              <w:rPr>
                <w:rFonts w:ascii="Times New Roman" w:hAnsi="Times New Roman"/>
              </w:rPr>
              <w:t>0.28</w:t>
            </w:r>
          </w:p>
        </w:tc>
        <w:tc>
          <w:tcPr>
            <w:tcW w:w="431" w:type="pct"/>
            <w:vAlign w:val="bottom"/>
          </w:tcPr>
          <w:p w:rsidR="000A1AC8" w:rsidRPr="006500DC" w:rsidRDefault="000A1AC8" w:rsidP="000A1AC8">
            <w:pPr>
              <w:spacing w:after="0"/>
              <w:jc w:val="center"/>
              <w:rPr>
                <w:rFonts w:ascii="Times New Roman" w:hAnsi="Times New Roman"/>
              </w:rPr>
            </w:pPr>
            <w:r w:rsidRPr="006500DC">
              <w:rPr>
                <w:rFonts w:ascii="Times New Roman" w:hAnsi="Times New Roman"/>
              </w:rPr>
              <w:t>0.67</w:t>
            </w:r>
          </w:p>
        </w:tc>
        <w:tc>
          <w:tcPr>
            <w:tcW w:w="428" w:type="pct"/>
            <w:vAlign w:val="bottom"/>
          </w:tcPr>
          <w:p w:rsidR="000A1AC8" w:rsidRPr="006500DC" w:rsidRDefault="000A1AC8" w:rsidP="000A1AC8">
            <w:pPr>
              <w:spacing w:after="0"/>
              <w:jc w:val="center"/>
              <w:rPr>
                <w:rFonts w:ascii="Times New Roman" w:hAnsi="Times New Roman"/>
              </w:rPr>
            </w:pPr>
            <w:r w:rsidRPr="006500DC">
              <w:rPr>
                <w:rFonts w:ascii="Times New Roman" w:hAnsi="Times New Roman"/>
              </w:rPr>
              <w:t>0.23</w:t>
            </w:r>
          </w:p>
        </w:tc>
      </w:tr>
    </w:tbl>
    <w:p w:rsidR="009C474C" w:rsidRDefault="009C474C" w:rsidP="009C474C">
      <w:pPr>
        <w:autoSpaceDE w:val="0"/>
        <w:autoSpaceDN w:val="0"/>
        <w:adjustRightInd w:val="0"/>
        <w:spacing w:after="0" w:line="360" w:lineRule="auto"/>
        <w:jc w:val="both"/>
        <w:rPr>
          <w:rFonts w:ascii="Times New Roman" w:eastAsia="Times New Roman" w:hAnsi="Times New Roman"/>
          <w:sz w:val="24"/>
          <w:szCs w:val="24"/>
        </w:rPr>
      </w:pPr>
    </w:p>
    <w:p w:rsidR="009C474C" w:rsidRDefault="009C474C" w:rsidP="009C474C">
      <w:pPr>
        <w:autoSpaceDE w:val="0"/>
        <w:autoSpaceDN w:val="0"/>
        <w:adjustRightInd w:val="0"/>
        <w:spacing w:after="0" w:line="360" w:lineRule="auto"/>
        <w:jc w:val="both"/>
        <w:rPr>
          <w:rFonts w:ascii="Times New Roman" w:eastAsia="Times New Roman" w:hAnsi="Times New Roman"/>
          <w:sz w:val="24"/>
          <w:szCs w:val="24"/>
        </w:rPr>
      </w:pPr>
      <w:r w:rsidRPr="00AA5CF8">
        <w:rPr>
          <w:rFonts w:ascii="Times New Roman" w:eastAsia="Times New Roman" w:hAnsi="Times New Roman"/>
          <w:sz w:val="24"/>
          <w:szCs w:val="24"/>
        </w:rPr>
        <w:t xml:space="preserve">The composition of total expenditure (net of debt repayment, loans and advances) in the </w:t>
      </w:r>
      <w:r w:rsidR="00CC4285">
        <w:rPr>
          <w:rFonts w:ascii="Times New Roman" w:eastAsia="Times New Roman" w:hAnsi="Times New Roman"/>
          <w:sz w:val="24"/>
          <w:szCs w:val="24"/>
        </w:rPr>
        <w:t>s</w:t>
      </w:r>
      <w:r w:rsidRPr="00AA5CF8">
        <w:rPr>
          <w:rFonts w:ascii="Times New Roman" w:eastAsia="Times New Roman" w:hAnsi="Times New Roman"/>
          <w:sz w:val="24"/>
          <w:szCs w:val="24"/>
        </w:rPr>
        <w:t xml:space="preserve">tate indicates that interest payment, pension, </w:t>
      </w:r>
      <w:r>
        <w:rPr>
          <w:rFonts w:ascii="Times New Roman" w:eastAsia="Times New Roman" w:hAnsi="Times New Roman"/>
          <w:sz w:val="24"/>
          <w:szCs w:val="24"/>
        </w:rPr>
        <w:t>and administrative services are impor</w:t>
      </w:r>
      <w:r w:rsidR="006500DC">
        <w:rPr>
          <w:rFonts w:ascii="Times New Roman" w:eastAsia="Times New Roman" w:hAnsi="Times New Roman"/>
          <w:sz w:val="24"/>
          <w:szCs w:val="24"/>
        </w:rPr>
        <w:t>tant source of g</w:t>
      </w:r>
      <w:r>
        <w:rPr>
          <w:rFonts w:ascii="Times New Roman" w:eastAsia="Times New Roman" w:hAnsi="Times New Roman"/>
          <w:sz w:val="24"/>
          <w:szCs w:val="24"/>
        </w:rPr>
        <w:t xml:space="preserve">overnment spending (Table 3.7). These three spending heads taken together constituted 25.14 percent of total expenditure in 2018-19. Expenditure on education, health, water supply and </w:t>
      </w:r>
      <w:r>
        <w:rPr>
          <w:rFonts w:ascii="Times New Roman" w:eastAsia="Times New Roman" w:hAnsi="Times New Roman"/>
          <w:sz w:val="24"/>
          <w:szCs w:val="24"/>
        </w:rPr>
        <w:lastRenderedPageBreak/>
        <w:t xml:space="preserve">sanitation, and welfare and nutrition remained large spending departments in the social sector. However, there has not been a rise in the relative share of these spending in these services except that of water supply, sanitation and urban development. Agriculture, rural development, electricity, and transport have emerged as priority sectors in the economic services as shown in their relative shares in resource allocation.   </w:t>
      </w:r>
    </w:p>
    <w:p w:rsidR="00793B8E" w:rsidRDefault="00793B8E" w:rsidP="009C474C">
      <w:pPr>
        <w:autoSpaceDE w:val="0"/>
        <w:autoSpaceDN w:val="0"/>
        <w:adjustRightInd w:val="0"/>
        <w:spacing w:after="0" w:line="360" w:lineRule="auto"/>
        <w:jc w:val="both"/>
        <w:rPr>
          <w:rFonts w:ascii="Times New Roman" w:eastAsia="Times New Roman" w:hAnsi="Times New Roman"/>
          <w:sz w:val="24"/>
          <w:szCs w:val="24"/>
        </w:rPr>
      </w:pPr>
    </w:p>
    <w:p w:rsidR="006500DC" w:rsidRDefault="001C5E87" w:rsidP="001C5E87">
      <w:pPr>
        <w:autoSpaceDE w:val="0"/>
        <w:autoSpaceDN w:val="0"/>
        <w:adjustRightInd w:val="0"/>
        <w:spacing w:after="0" w:line="240" w:lineRule="auto"/>
        <w:ind w:firstLine="720"/>
        <w:jc w:val="center"/>
        <w:rPr>
          <w:rFonts w:ascii="Times New Roman" w:eastAsia="Times New Roman" w:hAnsi="Times New Roman"/>
          <w:b/>
          <w:sz w:val="24"/>
          <w:szCs w:val="24"/>
        </w:rPr>
      </w:pPr>
      <w:r w:rsidRPr="001C5E87">
        <w:rPr>
          <w:rFonts w:ascii="Times New Roman" w:eastAsia="Times New Roman" w:hAnsi="Times New Roman"/>
          <w:b/>
          <w:sz w:val="24"/>
          <w:szCs w:val="24"/>
        </w:rPr>
        <w:t xml:space="preserve">Table </w:t>
      </w:r>
      <w:r w:rsidR="008858A5">
        <w:rPr>
          <w:rFonts w:ascii="Times New Roman" w:eastAsia="Times New Roman" w:hAnsi="Times New Roman"/>
          <w:b/>
          <w:sz w:val="24"/>
          <w:szCs w:val="24"/>
        </w:rPr>
        <w:t>3.7</w:t>
      </w:r>
      <w:r w:rsidR="006500DC">
        <w:rPr>
          <w:rFonts w:ascii="Times New Roman" w:eastAsia="Times New Roman" w:hAnsi="Times New Roman"/>
          <w:b/>
          <w:sz w:val="24"/>
          <w:szCs w:val="24"/>
        </w:rPr>
        <w:t xml:space="preserve">: </w:t>
      </w:r>
      <w:r w:rsidRPr="001C5E87">
        <w:rPr>
          <w:rFonts w:ascii="Times New Roman" w:eastAsia="Times New Roman" w:hAnsi="Times New Roman"/>
          <w:b/>
          <w:sz w:val="24"/>
          <w:szCs w:val="24"/>
        </w:rPr>
        <w:t>Composition of Total Expenditure</w:t>
      </w:r>
      <w:r w:rsidR="003D33FD">
        <w:rPr>
          <w:rFonts w:ascii="Times New Roman" w:eastAsia="Times New Roman" w:hAnsi="Times New Roman"/>
          <w:b/>
          <w:sz w:val="24"/>
          <w:szCs w:val="24"/>
        </w:rPr>
        <w:t xml:space="preserve"> </w:t>
      </w:r>
    </w:p>
    <w:p w:rsidR="001C5E87" w:rsidRPr="001C5E87" w:rsidRDefault="003D33FD" w:rsidP="001C5E87">
      <w:pPr>
        <w:autoSpaceDE w:val="0"/>
        <w:autoSpaceDN w:val="0"/>
        <w:adjustRightInd w:val="0"/>
        <w:spacing w:after="0" w:line="240" w:lineRule="auto"/>
        <w:ind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(Net of </w:t>
      </w:r>
      <w:r w:rsidR="00C16B7D">
        <w:rPr>
          <w:rFonts w:ascii="Times New Roman" w:eastAsia="Times New Roman" w:hAnsi="Times New Roman"/>
          <w:b/>
          <w:sz w:val="24"/>
          <w:szCs w:val="24"/>
        </w:rPr>
        <w:t>D</w:t>
      </w:r>
      <w:r>
        <w:rPr>
          <w:rFonts w:ascii="Times New Roman" w:eastAsia="Times New Roman" w:hAnsi="Times New Roman"/>
          <w:b/>
          <w:sz w:val="24"/>
          <w:szCs w:val="24"/>
        </w:rPr>
        <w:t>ebt Repayment)</w:t>
      </w:r>
    </w:p>
    <w:p w:rsidR="006500DC" w:rsidRPr="00362499" w:rsidRDefault="006500DC" w:rsidP="006500DC">
      <w:pPr>
        <w:spacing w:after="0" w:line="240" w:lineRule="auto"/>
        <w:jc w:val="right"/>
        <w:rPr>
          <w:rFonts w:ascii="Times New Roman" w:eastAsiaTheme="minorHAnsi" w:hAnsi="Times New Roman"/>
          <w:b/>
          <w:i/>
        </w:rPr>
      </w:pPr>
      <w:r w:rsidRPr="00362499">
        <w:rPr>
          <w:rFonts w:ascii="Times New Roman" w:eastAsiaTheme="minorHAnsi" w:hAnsi="Times New Roman"/>
          <w:b/>
          <w:i/>
        </w:rPr>
        <w:t>(Percent)</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9"/>
        <w:gridCol w:w="709"/>
        <w:gridCol w:w="709"/>
        <w:gridCol w:w="838"/>
        <w:gridCol w:w="862"/>
        <w:gridCol w:w="851"/>
        <w:gridCol w:w="758"/>
        <w:gridCol w:w="684"/>
      </w:tblGrid>
      <w:tr w:rsidR="006500DC" w:rsidRPr="00784B00" w:rsidTr="006500DC">
        <w:trPr>
          <w:trHeight w:val="301"/>
        </w:trPr>
        <w:tc>
          <w:tcPr>
            <w:tcW w:w="1634" w:type="pct"/>
            <w:shd w:val="clear" w:color="auto" w:fill="auto"/>
            <w:noWrap/>
            <w:vAlign w:val="bottom"/>
            <w:hideMark/>
          </w:tcPr>
          <w:p w:rsidR="00784B00" w:rsidRPr="006500DC" w:rsidRDefault="00784B00" w:rsidP="00784B00">
            <w:pPr>
              <w:spacing w:after="0" w:line="240" w:lineRule="auto"/>
              <w:rPr>
                <w:rFonts w:ascii="Times New Roman" w:eastAsia="Times New Roman" w:hAnsi="Times New Roman"/>
                <w:b/>
                <w:bCs/>
                <w:color w:val="000000"/>
                <w:sz w:val="20"/>
                <w:szCs w:val="20"/>
              </w:rPr>
            </w:pPr>
            <w:r w:rsidRPr="006500DC">
              <w:rPr>
                <w:rFonts w:ascii="Times New Roman" w:eastAsia="Times New Roman" w:hAnsi="Times New Roman"/>
                <w:b/>
                <w:bCs/>
                <w:color w:val="000000"/>
                <w:sz w:val="20"/>
                <w:szCs w:val="20"/>
              </w:rPr>
              <w:t>Heads</w:t>
            </w:r>
          </w:p>
        </w:tc>
        <w:tc>
          <w:tcPr>
            <w:tcW w:w="390" w:type="pct"/>
            <w:shd w:val="clear" w:color="auto" w:fill="auto"/>
            <w:noWrap/>
            <w:vAlign w:val="bottom"/>
            <w:hideMark/>
          </w:tcPr>
          <w:p w:rsidR="00784B00" w:rsidRPr="006500DC" w:rsidRDefault="00784B00" w:rsidP="00784B00">
            <w:pPr>
              <w:spacing w:after="0" w:line="240" w:lineRule="auto"/>
              <w:jc w:val="center"/>
              <w:rPr>
                <w:rFonts w:ascii="Times New Roman" w:eastAsia="Times New Roman" w:hAnsi="Times New Roman"/>
                <w:b/>
                <w:bCs/>
                <w:color w:val="000000"/>
                <w:sz w:val="20"/>
                <w:szCs w:val="20"/>
              </w:rPr>
            </w:pPr>
            <w:r w:rsidRPr="006500DC">
              <w:rPr>
                <w:rFonts w:ascii="Times New Roman" w:eastAsia="Times New Roman" w:hAnsi="Times New Roman"/>
                <w:b/>
                <w:bCs/>
                <w:color w:val="000000"/>
                <w:sz w:val="20"/>
                <w:szCs w:val="20"/>
              </w:rPr>
              <w:t>2011-12</w:t>
            </w:r>
          </w:p>
        </w:tc>
        <w:tc>
          <w:tcPr>
            <w:tcW w:w="390" w:type="pct"/>
            <w:shd w:val="clear" w:color="auto" w:fill="auto"/>
            <w:noWrap/>
            <w:vAlign w:val="bottom"/>
            <w:hideMark/>
          </w:tcPr>
          <w:p w:rsidR="00784B00" w:rsidRPr="006500DC" w:rsidRDefault="00784B00" w:rsidP="00784B00">
            <w:pPr>
              <w:spacing w:after="0" w:line="240" w:lineRule="auto"/>
              <w:jc w:val="center"/>
              <w:rPr>
                <w:rFonts w:ascii="Times New Roman" w:eastAsia="Times New Roman" w:hAnsi="Times New Roman"/>
                <w:b/>
                <w:bCs/>
                <w:color w:val="000000"/>
                <w:sz w:val="20"/>
                <w:szCs w:val="20"/>
              </w:rPr>
            </w:pPr>
            <w:r w:rsidRPr="006500DC">
              <w:rPr>
                <w:rFonts w:ascii="Times New Roman" w:eastAsia="Times New Roman" w:hAnsi="Times New Roman"/>
                <w:b/>
                <w:bCs/>
                <w:color w:val="000000"/>
                <w:sz w:val="20"/>
                <w:szCs w:val="20"/>
              </w:rPr>
              <w:t>2012-13</w:t>
            </w:r>
          </w:p>
        </w:tc>
        <w:tc>
          <w:tcPr>
            <w:tcW w:w="390" w:type="pct"/>
            <w:shd w:val="clear" w:color="auto" w:fill="auto"/>
            <w:noWrap/>
            <w:vAlign w:val="bottom"/>
            <w:hideMark/>
          </w:tcPr>
          <w:p w:rsidR="00784B00" w:rsidRPr="006500DC" w:rsidRDefault="00784B00" w:rsidP="00784B00">
            <w:pPr>
              <w:spacing w:after="0" w:line="240" w:lineRule="auto"/>
              <w:jc w:val="center"/>
              <w:rPr>
                <w:rFonts w:ascii="Times New Roman" w:eastAsia="Times New Roman" w:hAnsi="Times New Roman"/>
                <w:b/>
                <w:bCs/>
                <w:color w:val="000000"/>
                <w:sz w:val="20"/>
                <w:szCs w:val="20"/>
              </w:rPr>
            </w:pPr>
            <w:r w:rsidRPr="006500DC">
              <w:rPr>
                <w:rFonts w:ascii="Times New Roman" w:eastAsia="Times New Roman" w:hAnsi="Times New Roman"/>
                <w:b/>
                <w:bCs/>
                <w:color w:val="000000"/>
                <w:sz w:val="20"/>
                <w:szCs w:val="20"/>
              </w:rPr>
              <w:t>2013-14</w:t>
            </w:r>
          </w:p>
        </w:tc>
        <w:tc>
          <w:tcPr>
            <w:tcW w:w="461" w:type="pct"/>
            <w:shd w:val="clear" w:color="auto" w:fill="auto"/>
            <w:noWrap/>
            <w:vAlign w:val="bottom"/>
            <w:hideMark/>
          </w:tcPr>
          <w:p w:rsidR="00784B00" w:rsidRPr="006500DC" w:rsidRDefault="00784B00" w:rsidP="00784B00">
            <w:pPr>
              <w:spacing w:after="0" w:line="240" w:lineRule="auto"/>
              <w:jc w:val="center"/>
              <w:rPr>
                <w:rFonts w:ascii="Times New Roman" w:eastAsia="Times New Roman" w:hAnsi="Times New Roman"/>
                <w:b/>
                <w:bCs/>
                <w:color w:val="000000"/>
                <w:sz w:val="20"/>
                <w:szCs w:val="20"/>
              </w:rPr>
            </w:pPr>
            <w:r w:rsidRPr="006500DC">
              <w:rPr>
                <w:rFonts w:ascii="Times New Roman" w:eastAsia="Times New Roman" w:hAnsi="Times New Roman"/>
                <w:b/>
                <w:bCs/>
                <w:color w:val="000000"/>
                <w:sz w:val="20"/>
                <w:szCs w:val="20"/>
              </w:rPr>
              <w:t>2014-15</w:t>
            </w:r>
          </w:p>
        </w:tc>
        <w:tc>
          <w:tcPr>
            <w:tcW w:w="474" w:type="pct"/>
            <w:shd w:val="clear" w:color="auto" w:fill="auto"/>
            <w:noWrap/>
            <w:vAlign w:val="bottom"/>
            <w:hideMark/>
          </w:tcPr>
          <w:p w:rsidR="00784B00" w:rsidRPr="006500DC" w:rsidRDefault="00784B00" w:rsidP="00784B00">
            <w:pPr>
              <w:spacing w:after="0" w:line="240" w:lineRule="auto"/>
              <w:jc w:val="center"/>
              <w:rPr>
                <w:rFonts w:ascii="Times New Roman" w:eastAsia="Times New Roman" w:hAnsi="Times New Roman"/>
                <w:b/>
                <w:bCs/>
                <w:sz w:val="20"/>
                <w:szCs w:val="20"/>
              </w:rPr>
            </w:pPr>
            <w:r w:rsidRPr="006500DC">
              <w:rPr>
                <w:rFonts w:ascii="Times New Roman" w:eastAsia="Times New Roman" w:hAnsi="Times New Roman"/>
                <w:b/>
                <w:bCs/>
                <w:sz w:val="20"/>
                <w:szCs w:val="20"/>
              </w:rPr>
              <w:t>2015-16</w:t>
            </w:r>
          </w:p>
        </w:tc>
        <w:tc>
          <w:tcPr>
            <w:tcW w:w="468" w:type="pct"/>
            <w:shd w:val="clear" w:color="auto" w:fill="auto"/>
            <w:noWrap/>
            <w:vAlign w:val="bottom"/>
            <w:hideMark/>
          </w:tcPr>
          <w:p w:rsidR="00784B00" w:rsidRPr="006500DC" w:rsidRDefault="00784B00" w:rsidP="00784B00">
            <w:pPr>
              <w:spacing w:after="0" w:line="240" w:lineRule="auto"/>
              <w:jc w:val="center"/>
              <w:rPr>
                <w:rFonts w:ascii="Times New Roman" w:eastAsia="Times New Roman" w:hAnsi="Times New Roman"/>
                <w:b/>
                <w:bCs/>
                <w:sz w:val="20"/>
                <w:szCs w:val="20"/>
              </w:rPr>
            </w:pPr>
            <w:r w:rsidRPr="006500DC">
              <w:rPr>
                <w:rFonts w:ascii="Times New Roman" w:eastAsia="Times New Roman" w:hAnsi="Times New Roman"/>
                <w:b/>
                <w:bCs/>
                <w:sz w:val="20"/>
                <w:szCs w:val="20"/>
              </w:rPr>
              <w:t>2016-17</w:t>
            </w:r>
          </w:p>
        </w:tc>
        <w:tc>
          <w:tcPr>
            <w:tcW w:w="417" w:type="pct"/>
            <w:vAlign w:val="bottom"/>
          </w:tcPr>
          <w:p w:rsidR="00784B00" w:rsidRPr="006500DC" w:rsidRDefault="00784B00" w:rsidP="00784B00">
            <w:pPr>
              <w:spacing w:after="0" w:line="240" w:lineRule="auto"/>
              <w:jc w:val="center"/>
              <w:rPr>
                <w:rFonts w:ascii="Times New Roman" w:eastAsia="Times New Roman" w:hAnsi="Times New Roman"/>
                <w:b/>
                <w:bCs/>
                <w:sz w:val="20"/>
                <w:szCs w:val="20"/>
              </w:rPr>
            </w:pPr>
            <w:r w:rsidRPr="006500DC">
              <w:rPr>
                <w:rFonts w:ascii="Times New Roman" w:eastAsia="Times New Roman" w:hAnsi="Times New Roman"/>
                <w:b/>
                <w:bCs/>
                <w:sz w:val="20"/>
                <w:szCs w:val="20"/>
              </w:rPr>
              <w:t>2017-18</w:t>
            </w:r>
          </w:p>
        </w:tc>
        <w:tc>
          <w:tcPr>
            <w:tcW w:w="376" w:type="pct"/>
            <w:vAlign w:val="bottom"/>
          </w:tcPr>
          <w:p w:rsidR="00784B00" w:rsidRPr="006500DC" w:rsidRDefault="00784B00" w:rsidP="00784B00">
            <w:pPr>
              <w:spacing w:after="0" w:line="240" w:lineRule="auto"/>
              <w:jc w:val="center"/>
              <w:rPr>
                <w:rFonts w:ascii="Times New Roman" w:eastAsia="Times New Roman" w:hAnsi="Times New Roman"/>
                <w:b/>
                <w:bCs/>
                <w:sz w:val="20"/>
                <w:szCs w:val="20"/>
              </w:rPr>
            </w:pPr>
            <w:r w:rsidRPr="006500DC">
              <w:rPr>
                <w:rFonts w:ascii="Times New Roman" w:eastAsia="Times New Roman" w:hAnsi="Times New Roman"/>
                <w:b/>
                <w:bCs/>
                <w:sz w:val="20"/>
                <w:szCs w:val="20"/>
              </w:rPr>
              <w:t>2018-19</w:t>
            </w:r>
          </w:p>
        </w:tc>
      </w:tr>
      <w:tr w:rsidR="006500DC" w:rsidRPr="00784B00" w:rsidTr="006500DC">
        <w:trPr>
          <w:trHeight w:val="346"/>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Interest Payment</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6.07</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5.81</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5.48</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5.38</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5.82</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6.80</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6.02</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6.24</w:t>
            </w:r>
          </w:p>
        </w:tc>
      </w:tr>
      <w:tr w:rsidR="006500DC" w:rsidRPr="00784B00" w:rsidTr="006500DC">
        <w:trPr>
          <w:trHeight w:val="423"/>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Pension</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5.53</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6.57</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6.46</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7.48</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8.94</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9.36</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8.40</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10.63</w:t>
            </w:r>
          </w:p>
        </w:tc>
      </w:tr>
      <w:tr w:rsidR="006500DC" w:rsidRPr="00784B00" w:rsidTr="006500DC">
        <w:trPr>
          <w:trHeight w:val="415"/>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Administrative Services</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8.92</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9.65</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9.82</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8.61</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9.11</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9.46</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7.77</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8.27</w:t>
            </w:r>
          </w:p>
        </w:tc>
      </w:tr>
      <w:tr w:rsidR="006500DC" w:rsidRPr="00784B00" w:rsidTr="006500DC">
        <w:trPr>
          <w:trHeight w:val="420"/>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General Services (Rev. Exp.)</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3.42</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3.68</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3.89</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5.80</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3.76</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4.16</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3.22</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3.12</w:t>
            </w:r>
          </w:p>
        </w:tc>
      </w:tr>
      <w:tr w:rsidR="006500DC" w:rsidRPr="00784B00" w:rsidTr="006500DC">
        <w:trPr>
          <w:trHeight w:val="413"/>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sz w:val="20"/>
                <w:szCs w:val="20"/>
              </w:rPr>
            </w:pPr>
            <w:r w:rsidRPr="00784B00">
              <w:rPr>
                <w:rFonts w:ascii="Times New Roman" w:eastAsia="Times New Roman" w:hAnsi="Times New Roman"/>
                <w:sz w:val="20"/>
                <w:szCs w:val="20"/>
              </w:rPr>
              <w:t xml:space="preserve">Compensation to Local Bodies </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1.00</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0.67</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0.88</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0.94</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0.86</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1.17</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1.05</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0.96</w:t>
            </w:r>
          </w:p>
        </w:tc>
      </w:tr>
      <w:tr w:rsidR="006500DC" w:rsidRPr="00784B00" w:rsidTr="006500DC">
        <w:trPr>
          <w:trHeight w:val="405"/>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sz w:val="20"/>
                <w:szCs w:val="20"/>
              </w:rPr>
            </w:pPr>
            <w:r w:rsidRPr="00784B00">
              <w:rPr>
                <w:rFonts w:ascii="Times New Roman" w:eastAsia="Times New Roman" w:hAnsi="Times New Roman"/>
                <w:sz w:val="20"/>
                <w:szCs w:val="20"/>
              </w:rPr>
              <w:t>Capital Outlay on Police</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0.19</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0.20</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0.37</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0.45</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0.11</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0.15</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0.11</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0.02</w:t>
            </w:r>
          </w:p>
        </w:tc>
      </w:tr>
      <w:tr w:rsidR="006500DC" w:rsidRPr="00784B00" w:rsidTr="006500DC">
        <w:trPr>
          <w:trHeight w:val="425"/>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sz w:val="20"/>
                <w:szCs w:val="20"/>
              </w:rPr>
            </w:pPr>
            <w:r w:rsidRPr="00784B00">
              <w:rPr>
                <w:rFonts w:ascii="Times New Roman" w:eastAsia="Times New Roman" w:hAnsi="Times New Roman"/>
                <w:sz w:val="20"/>
                <w:szCs w:val="20"/>
              </w:rPr>
              <w:t>Capital Outlay on Public works</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0.62</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2.23</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3.83</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2.01</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1.31</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1.35</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2.31</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0.98</w:t>
            </w:r>
          </w:p>
        </w:tc>
      </w:tr>
      <w:tr w:rsidR="006500DC" w:rsidRPr="00784B00" w:rsidTr="006500DC">
        <w:trPr>
          <w:trHeight w:val="416"/>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Education Sports Art and culture</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17.58</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17.24</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17.24</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17.09</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17.58</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17.08</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15.65</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15.35</w:t>
            </w:r>
          </w:p>
        </w:tc>
      </w:tr>
      <w:tr w:rsidR="006500DC" w:rsidRPr="00784B00" w:rsidTr="006500DC">
        <w:trPr>
          <w:trHeight w:val="408"/>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Medical and Public Health</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6.73</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6.63</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5.90</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5.49</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5.40</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5.54</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7.41</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5.61</w:t>
            </w:r>
          </w:p>
        </w:tc>
      </w:tr>
      <w:tr w:rsidR="006500DC" w:rsidRPr="00784B00" w:rsidTr="006500DC">
        <w:trPr>
          <w:trHeight w:val="434"/>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Water Supply Sanitation Housing and Urban Development</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6.04</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7.94</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8.52</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8.52</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4.65</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5.93</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7.15</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8.88</w:t>
            </w:r>
          </w:p>
        </w:tc>
      </w:tr>
      <w:tr w:rsidR="006500DC" w:rsidRPr="00784B00" w:rsidTr="006500DC">
        <w:trPr>
          <w:trHeight w:val="573"/>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Welfare of Scheduled Castes Scheduled Tribes and other Backward Classes</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0.65</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0.60</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0.69</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0.65</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0.77</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0.75</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0.81</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1.15</w:t>
            </w:r>
          </w:p>
        </w:tc>
      </w:tr>
      <w:tr w:rsidR="006500DC" w:rsidRPr="00784B00" w:rsidTr="006500DC">
        <w:trPr>
          <w:trHeight w:val="388"/>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Social Welfare and Nutrition</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9.32</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2.26</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4.11</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2.15</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2.72</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2.19</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2.07</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3.09</w:t>
            </w:r>
          </w:p>
        </w:tc>
      </w:tr>
      <w:tr w:rsidR="006500DC" w:rsidRPr="00784B00" w:rsidTr="006500DC">
        <w:trPr>
          <w:trHeight w:val="301"/>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Other Social Services (Total Exp.)</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1.32</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1.49</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1.77</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0.92</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0.81</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1.59</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1.28</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1.02</w:t>
            </w:r>
          </w:p>
        </w:tc>
      </w:tr>
      <w:tr w:rsidR="006500DC" w:rsidRPr="00784B00" w:rsidTr="006500DC">
        <w:trPr>
          <w:trHeight w:val="373"/>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Agriculture and Allied Services</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7.65</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6.49</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6.15</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6.57</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7.01</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5.81</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5.22</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6.36</w:t>
            </w:r>
          </w:p>
        </w:tc>
      </w:tr>
      <w:tr w:rsidR="006500DC" w:rsidRPr="00784B00" w:rsidTr="006500DC">
        <w:trPr>
          <w:trHeight w:val="407"/>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Rural Development</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3.71</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3.78</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2.79</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4.10</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3.24</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5.16</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3.13</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2.11</w:t>
            </w:r>
          </w:p>
        </w:tc>
      </w:tr>
      <w:tr w:rsidR="006500DC" w:rsidRPr="00784B00" w:rsidTr="006500DC">
        <w:trPr>
          <w:trHeight w:val="413"/>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Irrigation and Flood Control</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1.37</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1.82</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1.46</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0.50</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0.78</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0.64</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0.76</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1.19</w:t>
            </w:r>
          </w:p>
        </w:tc>
      </w:tr>
      <w:tr w:rsidR="006500DC" w:rsidRPr="00784B00" w:rsidTr="006500DC">
        <w:trPr>
          <w:trHeight w:val="419"/>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Energy</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4.31</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4.41</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3.46</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3.81</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5.65</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5.69</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4.76</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3.88</w:t>
            </w:r>
          </w:p>
        </w:tc>
      </w:tr>
      <w:tr w:rsidR="006500DC" w:rsidRPr="00784B00" w:rsidTr="006500DC">
        <w:trPr>
          <w:trHeight w:val="410"/>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Industry and Minerals</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1.55</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0.86</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0.84</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1.05</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0.75</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0.70</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1.19</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0.55</w:t>
            </w:r>
          </w:p>
        </w:tc>
      </w:tr>
      <w:tr w:rsidR="006500DC" w:rsidRPr="00784B00" w:rsidTr="006500DC">
        <w:trPr>
          <w:trHeight w:val="431"/>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Transport</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7.64</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12.35</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10.48</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8.60</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7.44</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8.36</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13.46</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12.34</w:t>
            </w:r>
          </w:p>
        </w:tc>
      </w:tr>
      <w:tr w:rsidR="006500DC" w:rsidRPr="00784B00" w:rsidTr="006500DC">
        <w:trPr>
          <w:trHeight w:val="395"/>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Science and Environment</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0.09</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0.06</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0.06</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0.07</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-0.30</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0.10</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0.08</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0.16</w:t>
            </w:r>
          </w:p>
        </w:tc>
      </w:tr>
      <w:tr w:rsidR="006500DC" w:rsidRPr="00784B00" w:rsidTr="006500DC">
        <w:trPr>
          <w:trHeight w:val="429"/>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General Economic Services</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2.60</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2.50</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2.26</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6.72</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8.09</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1.87</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1.75</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1.46</w:t>
            </w:r>
          </w:p>
        </w:tc>
      </w:tr>
      <w:tr w:rsidR="006500DC" w:rsidRPr="00784B00" w:rsidTr="006500DC">
        <w:trPr>
          <w:trHeight w:val="420"/>
        </w:trPr>
        <w:tc>
          <w:tcPr>
            <w:tcW w:w="1634" w:type="pct"/>
            <w:shd w:val="clear" w:color="auto" w:fill="auto"/>
            <w:vAlign w:val="bottom"/>
            <w:hideMark/>
          </w:tcPr>
          <w:p w:rsidR="00784B00" w:rsidRPr="00784B00" w:rsidRDefault="00784B00" w:rsidP="00784B00">
            <w:pPr>
              <w:spacing w:after="0" w:line="240" w:lineRule="auto"/>
              <w:rPr>
                <w:rFonts w:ascii="Times New Roman" w:eastAsia="Times New Roman" w:hAnsi="Times New Roman"/>
                <w:color w:val="000000"/>
                <w:sz w:val="20"/>
                <w:szCs w:val="20"/>
              </w:rPr>
            </w:pPr>
            <w:r w:rsidRPr="00784B00">
              <w:rPr>
                <w:rFonts w:ascii="Times New Roman" w:eastAsia="Times New Roman" w:hAnsi="Times New Roman"/>
                <w:color w:val="000000"/>
                <w:sz w:val="20"/>
                <w:szCs w:val="20"/>
              </w:rPr>
              <w:t>Other Economic Services</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0.58</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0.54</w:t>
            </w:r>
          </w:p>
        </w:tc>
        <w:tc>
          <w:tcPr>
            <w:tcW w:w="390"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1.09</w:t>
            </w:r>
          </w:p>
        </w:tc>
        <w:tc>
          <w:tcPr>
            <w:tcW w:w="461"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0.54</w:t>
            </w:r>
          </w:p>
        </w:tc>
        <w:tc>
          <w:tcPr>
            <w:tcW w:w="474"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0.56</w:t>
            </w:r>
          </w:p>
        </w:tc>
        <w:tc>
          <w:tcPr>
            <w:tcW w:w="468" w:type="pct"/>
            <w:shd w:val="clear" w:color="auto" w:fill="auto"/>
            <w:noWrap/>
            <w:vAlign w:val="bottom"/>
            <w:hideMark/>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0.65</w:t>
            </w:r>
          </w:p>
        </w:tc>
        <w:tc>
          <w:tcPr>
            <w:tcW w:w="417"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0.42</w:t>
            </w:r>
          </w:p>
        </w:tc>
        <w:tc>
          <w:tcPr>
            <w:tcW w:w="376" w:type="pct"/>
            <w:vAlign w:val="bottom"/>
          </w:tcPr>
          <w:p w:rsidR="00784B00" w:rsidRPr="00784B00" w:rsidRDefault="00784B00" w:rsidP="006500DC">
            <w:pPr>
              <w:spacing w:after="0" w:line="240" w:lineRule="auto"/>
              <w:jc w:val="right"/>
              <w:rPr>
                <w:rFonts w:ascii="Times New Roman" w:hAnsi="Times New Roman"/>
                <w:sz w:val="20"/>
                <w:szCs w:val="20"/>
              </w:rPr>
            </w:pPr>
            <w:r w:rsidRPr="00784B00">
              <w:rPr>
                <w:rFonts w:ascii="Times New Roman" w:hAnsi="Times New Roman"/>
                <w:sz w:val="20"/>
                <w:szCs w:val="20"/>
              </w:rPr>
              <w:t>0.54</w:t>
            </w:r>
          </w:p>
        </w:tc>
      </w:tr>
    </w:tbl>
    <w:p w:rsidR="005F2A6F" w:rsidRPr="001F21F6" w:rsidRDefault="005F2A6F" w:rsidP="005F2A6F">
      <w:pPr>
        <w:autoSpaceDE w:val="0"/>
        <w:autoSpaceDN w:val="0"/>
        <w:adjustRightInd w:val="0"/>
        <w:spacing w:after="0" w:line="240" w:lineRule="auto"/>
        <w:jc w:val="both"/>
        <w:rPr>
          <w:rFonts w:ascii="Times New Roman" w:eastAsia="Times New Roman" w:hAnsi="Times New Roman"/>
        </w:rPr>
      </w:pPr>
      <w:r w:rsidRPr="006500DC">
        <w:rPr>
          <w:rFonts w:ascii="Times New Roman" w:eastAsia="Times New Roman" w:hAnsi="Times New Roman"/>
          <w:b/>
        </w:rPr>
        <w:t>Source</w:t>
      </w:r>
      <w:r w:rsidRPr="001F21F6">
        <w:rPr>
          <w:rFonts w:ascii="Times New Roman" w:eastAsia="Times New Roman" w:hAnsi="Times New Roman"/>
        </w:rPr>
        <w:t xml:space="preserve"> (Basic Data): Finance A</w:t>
      </w:r>
      <w:r>
        <w:rPr>
          <w:rFonts w:ascii="Times New Roman" w:eastAsia="Times New Roman" w:hAnsi="Times New Roman"/>
        </w:rPr>
        <w:t>ccounts and State Budget 20</w:t>
      </w:r>
      <w:r w:rsidR="00784B00">
        <w:rPr>
          <w:rFonts w:ascii="Times New Roman" w:eastAsia="Times New Roman" w:hAnsi="Times New Roman"/>
        </w:rPr>
        <w:t>20-21</w:t>
      </w:r>
      <w:r w:rsidR="006500DC">
        <w:rPr>
          <w:rFonts w:ascii="Times New Roman" w:eastAsia="Times New Roman" w:hAnsi="Times New Roman"/>
        </w:rPr>
        <w:t>.</w:t>
      </w:r>
    </w:p>
    <w:p w:rsidR="00314344" w:rsidRDefault="00314344" w:rsidP="00AA5CF8">
      <w:pPr>
        <w:autoSpaceDE w:val="0"/>
        <w:autoSpaceDN w:val="0"/>
        <w:adjustRightInd w:val="0"/>
        <w:spacing w:after="0" w:line="360" w:lineRule="auto"/>
        <w:jc w:val="both"/>
        <w:rPr>
          <w:rFonts w:ascii="Times New Roman" w:eastAsia="Times New Roman" w:hAnsi="Times New Roman"/>
          <w:sz w:val="24"/>
          <w:szCs w:val="24"/>
        </w:rPr>
      </w:pPr>
    </w:p>
    <w:p w:rsidR="00C64BBA" w:rsidRPr="008858A5" w:rsidRDefault="008858A5" w:rsidP="008669B2">
      <w:pPr>
        <w:keepNext/>
        <w:autoSpaceDE w:val="0"/>
        <w:autoSpaceDN w:val="0"/>
        <w:adjustRightInd w:val="0"/>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3.5 </w:t>
      </w:r>
      <w:r w:rsidR="004979B5">
        <w:rPr>
          <w:rFonts w:ascii="Times New Roman" w:eastAsia="Times New Roman" w:hAnsi="Times New Roman"/>
          <w:b/>
          <w:sz w:val="24"/>
          <w:szCs w:val="24"/>
        </w:rPr>
        <w:t xml:space="preserve">Public </w:t>
      </w:r>
      <w:r w:rsidR="001E6252">
        <w:rPr>
          <w:rFonts w:ascii="Times New Roman" w:eastAsia="Times New Roman" w:hAnsi="Times New Roman"/>
          <w:b/>
          <w:sz w:val="24"/>
          <w:szCs w:val="24"/>
        </w:rPr>
        <w:t>D</w:t>
      </w:r>
      <w:r w:rsidR="004979B5">
        <w:rPr>
          <w:rFonts w:ascii="Times New Roman" w:eastAsia="Times New Roman" w:hAnsi="Times New Roman"/>
          <w:b/>
          <w:sz w:val="24"/>
          <w:szCs w:val="24"/>
        </w:rPr>
        <w:t xml:space="preserve">ebt and Other Liabilities </w:t>
      </w:r>
    </w:p>
    <w:p w:rsidR="00DC483E" w:rsidRDefault="001E6252" w:rsidP="00DC483E">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Public debt and other liabilities of the state include inter</w:t>
      </w:r>
      <w:r w:rsidR="00084E00">
        <w:rPr>
          <w:rFonts w:ascii="Times New Roman" w:eastAsiaTheme="minorHAnsi" w:hAnsi="Times New Roman"/>
          <w:sz w:val="24"/>
          <w:szCs w:val="24"/>
        </w:rPr>
        <w:t>nal</w:t>
      </w:r>
      <w:r>
        <w:rPr>
          <w:rFonts w:ascii="Times New Roman" w:eastAsiaTheme="minorHAnsi" w:hAnsi="Times New Roman"/>
          <w:sz w:val="24"/>
          <w:szCs w:val="24"/>
        </w:rPr>
        <w:t xml:space="preserve"> debt, loans from the centr</w:t>
      </w:r>
      <w:r w:rsidR="00B650F5">
        <w:rPr>
          <w:rFonts w:ascii="Times New Roman" w:eastAsiaTheme="minorHAnsi" w:hAnsi="Times New Roman"/>
          <w:sz w:val="24"/>
          <w:szCs w:val="24"/>
        </w:rPr>
        <w:t>al government</w:t>
      </w:r>
      <w:r>
        <w:rPr>
          <w:rFonts w:ascii="Times New Roman" w:eastAsiaTheme="minorHAnsi" w:hAnsi="Times New Roman"/>
          <w:sz w:val="24"/>
          <w:szCs w:val="24"/>
        </w:rPr>
        <w:t>, small savings and provident fund, reserve funds and deposits. The last three items are part of public accounts and net of these items are utilized to finance fiscal deficit. The debt-GSDP ratio that is targeted under FRBM Act takes outstanding amount of all these items together. The FRBM Act of the state, usually defines the path of th</w:t>
      </w:r>
      <w:r w:rsidR="008669B2">
        <w:rPr>
          <w:rFonts w:ascii="Times New Roman" w:eastAsiaTheme="minorHAnsi" w:hAnsi="Times New Roman"/>
          <w:sz w:val="24"/>
          <w:szCs w:val="24"/>
        </w:rPr>
        <w:t>e debt-GSDP ratio by following Ce</w:t>
      </w:r>
      <w:r>
        <w:rPr>
          <w:rFonts w:ascii="Times New Roman" w:eastAsiaTheme="minorHAnsi" w:hAnsi="Times New Roman"/>
          <w:sz w:val="24"/>
          <w:szCs w:val="24"/>
        </w:rPr>
        <w:t xml:space="preserve">ntral </w:t>
      </w:r>
      <w:r w:rsidR="008669B2">
        <w:rPr>
          <w:rFonts w:ascii="Times New Roman" w:eastAsiaTheme="minorHAnsi" w:hAnsi="Times New Roman"/>
          <w:sz w:val="24"/>
          <w:szCs w:val="24"/>
        </w:rPr>
        <w:t>F</w:t>
      </w:r>
      <w:r>
        <w:rPr>
          <w:rFonts w:ascii="Times New Roman" w:eastAsiaTheme="minorHAnsi" w:hAnsi="Times New Roman"/>
          <w:sz w:val="24"/>
          <w:szCs w:val="24"/>
        </w:rPr>
        <w:t xml:space="preserve">inance </w:t>
      </w:r>
      <w:r w:rsidR="008669B2">
        <w:rPr>
          <w:rFonts w:ascii="Times New Roman" w:eastAsiaTheme="minorHAnsi" w:hAnsi="Times New Roman"/>
          <w:sz w:val="24"/>
          <w:szCs w:val="24"/>
        </w:rPr>
        <w:t>C</w:t>
      </w:r>
      <w:r>
        <w:rPr>
          <w:rFonts w:ascii="Times New Roman" w:eastAsiaTheme="minorHAnsi" w:hAnsi="Times New Roman"/>
          <w:sz w:val="24"/>
          <w:szCs w:val="24"/>
        </w:rPr>
        <w:t>ommission recommendations.</w:t>
      </w:r>
    </w:p>
    <w:p w:rsidR="001E6252" w:rsidRDefault="001E6252" w:rsidP="00DC483E">
      <w:pPr>
        <w:spacing w:after="0" w:line="360" w:lineRule="auto"/>
        <w:jc w:val="both"/>
        <w:rPr>
          <w:rFonts w:ascii="Times New Roman" w:eastAsiaTheme="minorHAnsi" w:hAnsi="Times New Roman"/>
          <w:sz w:val="24"/>
          <w:szCs w:val="24"/>
        </w:rPr>
      </w:pPr>
    </w:p>
    <w:p w:rsidR="00DC483E" w:rsidRDefault="00DC483E" w:rsidP="00DC483E">
      <w:pPr>
        <w:spacing w:after="0" w:line="360" w:lineRule="auto"/>
        <w:jc w:val="both"/>
        <w:rPr>
          <w:rFonts w:ascii="Times New Roman" w:eastAsiaTheme="minorHAnsi" w:hAnsi="Times New Roman"/>
          <w:sz w:val="24"/>
          <w:szCs w:val="24"/>
        </w:rPr>
      </w:pPr>
      <w:r w:rsidRPr="00DC483E">
        <w:rPr>
          <w:rFonts w:ascii="Times New Roman" w:eastAsiaTheme="minorHAnsi" w:hAnsi="Times New Roman"/>
          <w:sz w:val="24"/>
          <w:szCs w:val="24"/>
        </w:rPr>
        <w:t>Annual borrowing limit</w:t>
      </w:r>
      <w:r w:rsidR="007C6579">
        <w:rPr>
          <w:rFonts w:ascii="Times New Roman" w:eastAsiaTheme="minorHAnsi" w:hAnsi="Times New Roman"/>
          <w:sz w:val="24"/>
          <w:szCs w:val="24"/>
        </w:rPr>
        <w:t xml:space="preserve"> for the state is fixed by the Union Go</w:t>
      </w:r>
      <w:r w:rsidRPr="00DC483E">
        <w:rPr>
          <w:rFonts w:ascii="Times New Roman" w:eastAsiaTheme="minorHAnsi" w:hAnsi="Times New Roman"/>
          <w:sz w:val="24"/>
          <w:szCs w:val="24"/>
        </w:rPr>
        <w:t>vernment, which now is pegged at the fiscal deficit limit prescribed by FRBM Act. The composition of state debt also has undergone changes after the recommendation of FC-XII limiting loans from central government. At the same time the recommendation of the FC-XII helped in reducing average cost of debt and debt burden of the states through debt restructuring formula. The debt restructuring formula was conditioned on states willingness to adopt fiscal rules and abide by the fiscal consolidation path suggested by the Commission. The FC-XIII recommended state wise debt-GSDP ratios, which became part of state FRBM Acts. The fiscal management principles contained in FRBM Act calls upon the state to maintain debt burden at sustainable level.</w:t>
      </w:r>
    </w:p>
    <w:p w:rsidR="007C6579" w:rsidRDefault="007C6579" w:rsidP="00DC483E">
      <w:pPr>
        <w:spacing w:after="0" w:line="360" w:lineRule="auto"/>
        <w:jc w:val="both"/>
        <w:rPr>
          <w:rFonts w:ascii="Times New Roman" w:eastAsiaTheme="minorHAnsi" w:hAnsi="Times New Roman"/>
          <w:sz w:val="24"/>
          <w:szCs w:val="24"/>
        </w:rPr>
      </w:pPr>
    </w:p>
    <w:p w:rsidR="007C6579" w:rsidRDefault="007C6579" w:rsidP="007C6579">
      <w:pPr>
        <w:spacing w:after="0" w:line="360" w:lineRule="auto"/>
        <w:jc w:val="both"/>
        <w:rPr>
          <w:rFonts w:ascii="Times New Roman" w:eastAsia="Times New Roman" w:hAnsi="Times New Roman"/>
          <w:sz w:val="24"/>
          <w:szCs w:val="24"/>
        </w:rPr>
      </w:pPr>
      <w:r w:rsidRPr="00DC483E">
        <w:rPr>
          <w:rFonts w:ascii="Times New Roman" w:eastAsiaTheme="minorHAnsi" w:hAnsi="Times New Roman"/>
          <w:sz w:val="24"/>
          <w:szCs w:val="24"/>
        </w:rPr>
        <w:t xml:space="preserve">The FC-XIV in their fiscal roadmap for the states recommended anchoring the fiscal deficit at 3 percent of the GSDP. The states can avail the flexibility to increase this limit by 0.5 percentage points, 0.25 percent separately depending upon conditions prescribed. One of the major conditions was to limit the debt-GSDP ratio to 25 percent in the previous year. Thus, for all effective purposes the benchmark of debt-GSDP ratio was 25 percent. </w:t>
      </w:r>
      <w:r w:rsidRPr="005D74BE">
        <w:rPr>
          <w:rFonts w:ascii="Times New Roman" w:eastAsia="Times New Roman" w:hAnsi="Times New Roman"/>
          <w:sz w:val="24"/>
          <w:szCs w:val="24"/>
        </w:rPr>
        <w:t>The aggregate level of indebtedness in 201</w:t>
      </w:r>
      <w:r>
        <w:rPr>
          <w:rFonts w:ascii="Times New Roman" w:eastAsia="Times New Roman" w:hAnsi="Times New Roman"/>
          <w:sz w:val="24"/>
          <w:szCs w:val="24"/>
        </w:rPr>
        <w:t>9-20</w:t>
      </w:r>
      <w:r w:rsidRPr="005D74BE">
        <w:rPr>
          <w:rFonts w:ascii="Times New Roman" w:eastAsia="Times New Roman" w:hAnsi="Times New Roman"/>
          <w:sz w:val="24"/>
          <w:szCs w:val="24"/>
        </w:rPr>
        <w:t xml:space="preserve"> indicates that the </w:t>
      </w:r>
      <w:r>
        <w:rPr>
          <w:rFonts w:ascii="Times New Roman" w:eastAsia="Times New Roman" w:hAnsi="Times New Roman"/>
          <w:sz w:val="24"/>
          <w:szCs w:val="24"/>
        </w:rPr>
        <w:t>s</w:t>
      </w:r>
      <w:r w:rsidRPr="005D74BE">
        <w:rPr>
          <w:rFonts w:ascii="Times New Roman" w:eastAsia="Times New Roman" w:hAnsi="Times New Roman"/>
          <w:sz w:val="24"/>
          <w:szCs w:val="24"/>
        </w:rPr>
        <w:t xml:space="preserve">tate </w:t>
      </w:r>
      <w:r>
        <w:rPr>
          <w:rFonts w:ascii="Times New Roman" w:eastAsia="Times New Roman" w:hAnsi="Times New Roman"/>
          <w:sz w:val="24"/>
          <w:szCs w:val="24"/>
        </w:rPr>
        <w:t>g</w:t>
      </w:r>
      <w:r w:rsidRPr="005D74BE">
        <w:rPr>
          <w:rFonts w:ascii="Times New Roman" w:eastAsia="Times New Roman" w:hAnsi="Times New Roman"/>
          <w:sz w:val="24"/>
          <w:szCs w:val="24"/>
        </w:rPr>
        <w:t xml:space="preserve">overnment complied with the </w:t>
      </w:r>
      <w:r>
        <w:rPr>
          <w:rFonts w:ascii="Times New Roman" w:eastAsia="Times New Roman" w:hAnsi="Times New Roman"/>
          <w:sz w:val="24"/>
          <w:szCs w:val="24"/>
        </w:rPr>
        <w:t>FC-XIV</w:t>
      </w:r>
      <w:r w:rsidRPr="005D74BE">
        <w:rPr>
          <w:rFonts w:ascii="Times New Roman" w:eastAsia="Times New Roman" w:hAnsi="Times New Roman"/>
          <w:sz w:val="24"/>
          <w:szCs w:val="24"/>
        </w:rPr>
        <w:t xml:space="preserve"> recommendations</w:t>
      </w:r>
      <w:r>
        <w:rPr>
          <w:rFonts w:ascii="Times New Roman" w:eastAsia="Times New Roman" w:hAnsi="Times New Roman"/>
          <w:sz w:val="24"/>
          <w:szCs w:val="24"/>
        </w:rPr>
        <w:t xml:space="preserve">. </w:t>
      </w:r>
      <w:r w:rsidRPr="005D74BE">
        <w:rPr>
          <w:rFonts w:ascii="Times New Roman" w:eastAsia="Times New Roman" w:hAnsi="Times New Roman"/>
          <w:sz w:val="24"/>
          <w:szCs w:val="24"/>
        </w:rPr>
        <w:t>The indebtedness of the Government of Sikkim</w:t>
      </w:r>
      <w:r>
        <w:rPr>
          <w:rFonts w:ascii="Times New Roman" w:eastAsia="Times New Roman" w:hAnsi="Times New Roman"/>
          <w:sz w:val="24"/>
          <w:szCs w:val="24"/>
        </w:rPr>
        <w:t xml:space="preserve">, which was showing some decline since 2011-12, </w:t>
      </w:r>
      <w:r w:rsidRPr="005D74BE">
        <w:rPr>
          <w:rFonts w:ascii="Times New Roman" w:eastAsia="Times New Roman" w:hAnsi="Times New Roman"/>
          <w:sz w:val="24"/>
          <w:szCs w:val="24"/>
        </w:rPr>
        <w:t xml:space="preserve">has </w:t>
      </w:r>
      <w:r>
        <w:rPr>
          <w:rFonts w:ascii="Times New Roman" w:eastAsia="Times New Roman" w:hAnsi="Times New Roman"/>
          <w:sz w:val="24"/>
          <w:szCs w:val="24"/>
        </w:rPr>
        <w:t xml:space="preserve">started </w:t>
      </w:r>
      <w:r w:rsidRPr="008858A5">
        <w:rPr>
          <w:rFonts w:ascii="Times New Roman" w:eastAsia="Times New Roman" w:hAnsi="Times New Roman"/>
          <w:sz w:val="24"/>
          <w:szCs w:val="24"/>
        </w:rPr>
        <w:t>increasing in 2016-17 (Table 3.8).</w:t>
      </w:r>
      <w:r w:rsidRPr="008858A5">
        <w:t xml:space="preserve"> </w:t>
      </w:r>
      <w:r w:rsidRPr="008858A5">
        <w:rPr>
          <w:rFonts w:ascii="Times New Roman" w:eastAsia="Times New Roman" w:hAnsi="Times New Roman"/>
          <w:sz w:val="24"/>
          <w:szCs w:val="24"/>
        </w:rPr>
        <w:t xml:space="preserve">Taking all types of liabilities, </w:t>
      </w:r>
      <w:r>
        <w:rPr>
          <w:rFonts w:ascii="Times New Roman" w:eastAsia="Times New Roman" w:hAnsi="Times New Roman"/>
          <w:sz w:val="24"/>
          <w:szCs w:val="24"/>
        </w:rPr>
        <w:t xml:space="preserve">it </w:t>
      </w:r>
      <w:r w:rsidRPr="008858A5">
        <w:rPr>
          <w:rFonts w:ascii="Times New Roman" w:eastAsia="Times New Roman" w:hAnsi="Times New Roman"/>
          <w:sz w:val="24"/>
          <w:szCs w:val="24"/>
        </w:rPr>
        <w:t>stands at 2</w:t>
      </w:r>
      <w:r>
        <w:rPr>
          <w:rFonts w:ascii="Times New Roman" w:eastAsia="Times New Roman" w:hAnsi="Times New Roman"/>
          <w:sz w:val="24"/>
          <w:szCs w:val="24"/>
        </w:rPr>
        <w:t>2.80</w:t>
      </w:r>
      <w:r w:rsidRPr="008858A5">
        <w:rPr>
          <w:rFonts w:ascii="Times New Roman" w:eastAsia="Times New Roman" w:hAnsi="Times New Roman"/>
          <w:sz w:val="24"/>
          <w:szCs w:val="24"/>
        </w:rPr>
        <w:t xml:space="preserve"> percent in</w:t>
      </w:r>
      <w:r>
        <w:rPr>
          <w:rFonts w:ascii="Times New Roman" w:eastAsia="Times New Roman" w:hAnsi="Times New Roman"/>
          <w:sz w:val="24"/>
          <w:szCs w:val="24"/>
        </w:rPr>
        <w:t xml:space="preserve"> 2019-20. Increase in internal debt of the </w:t>
      </w:r>
      <w:r>
        <w:rPr>
          <w:rFonts w:ascii="Times New Roman" w:eastAsia="Times New Roman" w:hAnsi="Times New Roman"/>
          <w:sz w:val="24"/>
          <w:szCs w:val="24"/>
        </w:rPr>
        <w:t>g</w:t>
      </w:r>
      <w:r>
        <w:rPr>
          <w:rFonts w:ascii="Times New Roman" w:eastAsia="Times New Roman" w:hAnsi="Times New Roman"/>
          <w:sz w:val="24"/>
          <w:szCs w:val="24"/>
        </w:rPr>
        <w:t xml:space="preserve">overnment was one of the factors for this rise. </w:t>
      </w:r>
    </w:p>
    <w:p w:rsidR="007C6579" w:rsidRDefault="007C6579" w:rsidP="00DC483E">
      <w:pPr>
        <w:spacing w:after="0" w:line="360" w:lineRule="auto"/>
        <w:jc w:val="both"/>
        <w:rPr>
          <w:rFonts w:ascii="Times New Roman" w:eastAsiaTheme="minorHAnsi" w:hAnsi="Times New Roman"/>
          <w:sz w:val="24"/>
          <w:szCs w:val="24"/>
        </w:rPr>
      </w:pPr>
    </w:p>
    <w:p w:rsidR="007C6579" w:rsidRDefault="007C6579" w:rsidP="00DC483E">
      <w:pPr>
        <w:spacing w:after="0" w:line="360" w:lineRule="auto"/>
        <w:jc w:val="both"/>
        <w:rPr>
          <w:rFonts w:ascii="Times New Roman" w:eastAsiaTheme="minorHAnsi" w:hAnsi="Times New Roman"/>
          <w:sz w:val="24"/>
          <w:szCs w:val="24"/>
        </w:rPr>
      </w:pPr>
    </w:p>
    <w:p w:rsidR="007C6579" w:rsidRDefault="007C6579" w:rsidP="00DC483E">
      <w:pPr>
        <w:spacing w:after="0" w:line="360" w:lineRule="auto"/>
        <w:jc w:val="both"/>
        <w:rPr>
          <w:rFonts w:ascii="Times New Roman" w:eastAsiaTheme="minorHAnsi" w:hAnsi="Times New Roman"/>
          <w:sz w:val="24"/>
          <w:szCs w:val="24"/>
        </w:rPr>
      </w:pPr>
    </w:p>
    <w:p w:rsidR="007C6579" w:rsidRDefault="007C6579" w:rsidP="00DC483E">
      <w:pPr>
        <w:spacing w:after="0" w:line="360" w:lineRule="auto"/>
        <w:jc w:val="both"/>
        <w:rPr>
          <w:rFonts w:ascii="Times New Roman" w:eastAsiaTheme="minorHAnsi" w:hAnsi="Times New Roman"/>
          <w:sz w:val="24"/>
          <w:szCs w:val="24"/>
        </w:rPr>
      </w:pPr>
    </w:p>
    <w:p w:rsidR="007C6579" w:rsidRPr="00DC483E" w:rsidRDefault="007C6579" w:rsidP="00DC483E">
      <w:pPr>
        <w:spacing w:after="0" w:line="360" w:lineRule="auto"/>
        <w:jc w:val="both"/>
        <w:rPr>
          <w:rFonts w:ascii="Times New Roman" w:eastAsiaTheme="minorHAnsi" w:hAnsi="Times New Roman"/>
          <w:sz w:val="24"/>
          <w:szCs w:val="24"/>
        </w:rPr>
      </w:pPr>
    </w:p>
    <w:p w:rsidR="0052500A" w:rsidRDefault="008F20BA" w:rsidP="0052500A">
      <w:pPr>
        <w:autoSpaceDE w:val="0"/>
        <w:autoSpaceDN w:val="0"/>
        <w:adjustRightInd w:val="0"/>
        <w:spacing w:after="0" w:line="240" w:lineRule="auto"/>
        <w:jc w:val="center"/>
        <w:rPr>
          <w:rFonts w:ascii="Times New Roman" w:eastAsia="Times New Roman" w:hAnsi="Times New Roman"/>
          <w:b/>
        </w:rPr>
      </w:pPr>
      <w:r w:rsidRPr="008858A5">
        <w:rPr>
          <w:rFonts w:ascii="Times New Roman" w:eastAsia="Times New Roman" w:hAnsi="Times New Roman"/>
          <w:b/>
        </w:rPr>
        <w:lastRenderedPageBreak/>
        <w:t xml:space="preserve">Table </w:t>
      </w:r>
      <w:r w:rsidR="008858A5" w:rsidRPr="008858A5">
        <w:rPr>
          <w:rFonts w:ascii="Times New Roman" w:eastAsia="Times New Roman" w:hAnsi="Times New Roman"/>
          <w:b/>
        </w:rPr>
        <w:t>3.8</w:t>
      </w:r>
      <w:r w:rsidR="007C6579">
        <w:rPr>
          <w:rFonts w:ascii="Times New Roman" w:eastAsia="Times New Roman" w:hAnsi="Times New Roman"/>
          <w:b/>
        </w:rPr>
        <w:t xml:space="preserve">: </w:t>
      </w:r>
      <w:r w:rsidR="0052500A" w:rsidRPr="001C0874">
        <w:rPr>
          <w:rFonts w:ascii="Times New Roman" w:eastAsia="Times New Roman" w:hAnsi="Times New Roman"/>
          <w:b/>
        </w:rPr>
        <w:t>Liabilities of the Government of Sikkim</w:t>
      </w:r>
    </w:p>
    <w:p w:rsidR="0052500A" w:rsidRPr="007C6579" w:rsidRDefault="0052500A" w:rsidP="0052500A">
      <w:pPr>
        <w:autoSpaceDE w:val="0"/>
        <w:autoSpaceDN w:val="0"/>
        <w:adjustRightInd w:val="0"/>
        <w:spacing w:after="0" w:line="240" w:lineRule="auto"/>
        <w:jc w:val="right"/>
        <w:rPr>
          <w:rFonts w:ascii="Times New Roman" w:eastAsia="Times New Roman" w:hAnsi="Times New Roman"/>
          <w:b/>
          <w:i/>
          <w:sz w:val="20"/>
          <w:szCs w:val="20"/>
        </w:rPr>
      </w:pPr>
      <w:r w:rsidRPr="007C6579">
        <w:rPr>
          <w:rFonts w:ascii="Times New Roman" w:eastAsia="Times New Roman" w:hAnsi="Times New Roman"/>
          <w:b/>
          <w:i/>
          <w:sz w:val="20"/>
          <w:szCs w:val="20"/>
        </w:rPr>
        <w:t>(Percent of GSDP)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722"/>
        <w:gridCol w:w="722"/>
        <w:gridCol w:w="721"/>
        <w:gridCol w:w="721"/>
        <w:gridCol w:w="721"/>
        <w:gridCol w:w="721"/>
        <w:gridCol w:w="719"/>
        <w:gridCol w:w="718"/>
        <w:gridCol w:w="718"/>
      </w:tblGrid>
      <w:tr w:rsidR="009413C3" w:rsidRPr="007C6579" w:rsidTr="007C6579">
        <w:trPr>
          <w:trHeight w:val="300"/>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b/>
                <w:bCs/>
                <w:color w:val="000000"/>
              </w:rPr>
            </w:pPr>
          </w:p>
        </w:tc>
        <w:tc>
          <w:tcPr>
            <w:tcW w:w="400" w:type="pct"/>
            <w:shd w:val="clear" w:color="auto" w:fill="auto"/>
            <w:noWrap/>
            <w:vAlign w:val="bottom"/>
            <w:hideMark/>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2011-12</w:t>
            </w:r>
          </w:p>
        </w:tc>
        <w:tc>
          <w:tcPr>
            <w:tcW w:w="400" w:type="pct"/>
            <w:shd w:val="clear" w:color="auto" w:fill="auto"/>
            <w:noWrap/>
            <w:vAlign w:val="bottom"/>
            <w:hideMark/>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2012-13</w:t>
            </w:r>
          </w:p>
        </w:tc>
        <w:tc>
          <w:tcPr>
            <w:tcW w:w="400" w:type="pct"/>
            <w:shd w:val="clear" w:color="auto" w:fill="auto"/>
            <w:noWrap/>
            <w:vAlign w:val="bottom"/>
            <w:hideMark/>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2013-14</w:t>
            </w:r>
          </w:p>
        </w:tc>
        <w:tc>
          <w:tcPr>
            <w:tcW w:w="400" w:type="pct"/>
            <w:shd w:val="clear" w:color="auto" w:fill="auto"/>
            <w:noWrap/>
            <w:vAlign w:val="bottom"/>
            <w:hideMark/>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2014-15</w:t>
            </w:r>
          </w:p>
        </w:tc>
        <w:tc>
          <w:tcPr>
            <w:tcW w:w="400" w:type="pct"/>
            <w:shd w:val="clear" w:color="auto" w:fill="auto"/>
            <w:noWrap/>
            <w:vAlign w:val="bottom"/>
            <w:hideMark/>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2015-16</w:t>
            </w:r>
          </w:p>
        </w:tc>
        <w:tc>
          <w:tcPr>
            <w:tcW w:w="400" w:type="pct"/>
            <w:shd w:val="clear" w:color="auto" w:fill="auto"/>
            <w:noWrap/>
            <w:vAlign w:val="bottom"/>
            <w:hideMark/>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2016-17</w:t>
            </w:r>
          </w:p>
        </w:tc>
        <w:tc>
          <w:tcPr>
            <w:tcW w:w="399" w:type="pct"/>
            <w:vAlign w:val="bottom"/>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2017-18</w:t>
            </w:r>
          </w:p>
        </w:tc>
        <w:tc>
          <w:tcPr>
            <w:tcW w:w="398" w:type="pct"/>
            <w:vAlign w:val="bottom"/>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2018-19</w:t>
            </w:r>
          </w:p>
        </w:tc>
        <w:tc>
          <w:tcPr>
            <w:tcW w:w="398" w:type="pct"/>
            <w:vAlign w:val="bottom"/>
          </w:tcPr>
          <w:p w:rsidR="009413C3" w:rsidRPr="007C6579" w:rsidRDefault="009413C3" w:rsidP="00DB3DE0">
            <w:pPr>
              <w:spacing w:after="0" w:line="240" w:lineRule="auto"/>
              <w:jc w:val="center"/>
              <w:rPr>
                <w:rFonts w:ascii="Times New Roman" w:eastAsia="Times New Roman" w:hAnsi="Times New Roman"/>
                <w:b/>
                <w:bCs/>
                <w:color w:val="000000"/>
              </w:rPr>
            </w:pPr>
            <w:r w:rsidRPr="007C6579">
              <w:rPr>
                <w:rFonts w:ascii="Times New Roman" w:eastAsia="Times New Roman" w:hAnsi="Times New Roman"/>
                <w:b/>
                <w:bCs/>
                <w:color w:val="000000"/>
              </w:rPr>
              <w:t>2019-20</w:t>
            </w:r>
          </w:p>
        </w:tc>
      </w:tr>
      <w:tr w:rsidR="009413C3" w:rsidRPr="007C6579" w:rsidTr="007C6579">
        <w:trPr>
          <w:trHeight w:val="342"/>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b/>
                <w:bCs/>
                <w:color w:val="000000"/>
              </w:rPr>
            </w:pPr>
            <w:r w:rsidRPr="007C6579">
              <w:rPr>
                <w:rFonts w:ascii="Times New Roman" w:hAnsi="Times New Roman"/>
                <w:b/>
                <w:bCs/>
                <w:color w:val="000000"/>
              </w:rPr>
              <w:t>Public Debt</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22.05</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21.17</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23.39</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17.29</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17.85</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18.69</w:t>
            </w:r>
          </w:p>
        </w:tc>
        <w:tc>
          <w:tcPr>
            <w:tcW w:w="399"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18.99</w:t>
            </w:r>
          </w:p>
        </w:tc>
        <w:tc>
          <w:tcPr>
            <w:tcW w:w="398"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18.61</w:t>
            </w:r>
          </w:p>
        </w:tc>
        <w:tc>
          <w:tcPr>
            <w:tcW w:w="398"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16.65</w:t>
            </w:r>
          </w:p>
        </w:tc>
      </w:tr>
      <w:tr w:rsidR="009413C3" w:rsidRPr="007C6579" w:rsidTr="007C6579">
        <w:trPr>
          <w:trHeight w:val="300"/>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color w:val="000000"/>
              </w:rPr>
            </w:pPr>
            <w:r w:rsidRPr="007C6579">
              <w:rPr>
                <w:rFonts w:ascii="Times New Roman" w:eastAsia="Times New Roman" w:hAnsi="Times New Roman"/>
                <w:color w:val="000000"/>
              </w:rPr>
              <w:t xml:space="preserve">Internal Debt </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20.18</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19.57</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22.03</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16.46</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17.16</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18.10</w:t>
            </w:r>
          </w:p>
        </w:tc>
        <w:tc>
          <w:tcPr>
            <w:tcW w:w="399"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16.31</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18.25</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16.34</w:t>
            </w:r>
          </w:p>
        </w:tc>
      </w:tr>
      <w:tr w:rsidR="009413C3" w:rsidRPr="007C6579" w:rsidTr="007C6579">
        <w:trPr>
          <w:trHeight w:val="300"/>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color w:val="000000"/>
              </w:rPr>
            </w:pPr>
            <w:r w:rsidRPr="007C6579">
              <w:rPr>
                <w:rFonts w:ascii="Times New Roman" w:eastAsia="Times New Roman" w:hAnsi="Times New Roman"/>
                <w:color w:val="000000"/>
              </w:rPr>
              <w:t>Loans from the Central Govt.</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1.87</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1.59</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1.36</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0.83</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0.68</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0.59</w:t>
            </w:r>
          </w:p>
        </w:tc>
        <w:tc>
          <w:tcPr>
            <w:tcW w:w="399"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2.68</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0.36</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0.31</w:t>
            </w:r>
          </w:p>
        </w:tc>
      </w:tr>
      <w:tr w:rsidR="009413C3" w:rsidRPr="007C6579" w:rsidTr="007C6579">
        <w:trPr>
          <w:trHeight w:val="300"/>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b/>
                <w:bCs/>
                <w:color w:val="000000"/>
              </w:rPr>
            </w:pPr>
            <w:r w:rsidRPr="007C6579">
              <w:rPr>
                <w:rFonts w:ascii="Times New Roman" w:eastAsia="Times New Roman" w:hAnsi="Times New Roman"/>
                <w:b/>
                <w:bCs/>
                <w:color w:val="000000"/>
              </w:rPr>
              <w:t>Other Liabilities</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8.34</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8.35</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9.45</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6.69</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5.96</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6.21</w:t>
            </w:r>
          </w:p>
        </w:tc>
        <w:tc>
          <w:tcPr>
            <w:tcW w:w="399"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5.56</w:t>
            </w:r>
          </w:p>
        </w:tc>
        <w:tc>
          <w:tcPr>
            <w:tcW w:w="398"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5.04</w:t>
            </w:r>
          </w:p>
        </w:tc>
        <w:tc>
          <w:tcPr>
            <w:tcW w:w="398"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6.15</w:t>
            </w:r>
          </w:p>
        </w:tc>
      </w:tr>
      <w:tr w:rsidR="009413C3" w:rsidRPr="007C6579" w:rsidTr="007C6579">
        <w:trPr>
          <w:trHeight w:val="300"/>
        </w:trPr>
        <w:tc>
          <w:tcPr>
            <w:tcW w:w="1404" w:type="pct"/>
            <w:shd w:val="clear" w:color="auto" w:fill="auto"/>
            <w:noWrap/>
            <w:vAlign w:val="bottom"/>
            <w:hideMark/>
          </w:tcPr>
          <w:p w:rsidR="009413C3" w:rsidRPr="007C6579" w:rsidRDefault="009413C3" w:rsidP="007C6579">
            <w:pPr>
              <w:spacing w:after="0" w:line="240" w:lineRule="auto"/>
              <w:rPr>
                <w:rFonts w:ascii="Times New Roman" w:eastAsia="Times New Roman" w:hAnsi="Times New Roman"/>
                <w:color w:val="000000"/>
              </w:rPr>
            </w:pPr>
            <w:r w:rsidRPr="007C6579">
              <w:rPr>
                <w:rFonts w:ascii="Times New Roman" w:eastAsia="Times New Roman" w:hAnsi="Times New Roman"/>
                <w:color w:val="000000"/>
              </w:rPr>
              <w:t xml:space="preserve">Small </w:t>
            </w:r>
            <w:r w:rsidR="007C6579">
              <w:rPr>
                <w:rFonts w:ascii="Times New Roman" w:eastAsia="Times New Roman" w:hAnsi="Times New Roman"/>
                <w:color w:val="000000"/>
              </w:rPr>
              <w:t>S</w:t>
            </w:r>
            <w:r w:rsidRPr="007C6579">
              <w:rPr>
                <w:rFonts w:ascii="Times New Roman" w:eastAsia="Times New Roman" w:hAnsi="Times New Roman"/>
                <w:color w:val="000000"/>
              </w:rPr>
              <w:t xml:space="preserve">avings, Provident Fund </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6.89</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6.68</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7.34</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4.89</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4.50</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4.43</w:t>
            </w:r>
          </w:p>
        </w:tc>
        <w:tc>
          <w:tcPr>
            <w:tcW w:w="399"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4.11</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3.75</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3.58</w:t>
            </w:r>
          </w:p>
        </w:tc>
      </w:tr>
      <w:tr w:rsidR="009413C3" w:rsidRPr="007C6579" w:rsidTr="007C6579">
        <w:trPr>
          <w:trHeight w:val="300"/>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color w:val="000000"/>
              </w:rPr>
            </w:pPr>
            <w:r w:rsidRPr="007C6579">
              <w:rPr>
                <w:rFonts w:ascii="Times New Roman" w:eastAsia="Times New Roman" w:hAnsi="Times New Roman"/>
                <w:color w:val="000000"/>
              </w:rPr>
              <w:t xml:space="preserve">Reserve Fund </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0.22</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0.14</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0.55</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0.84</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0.51</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0.50</w:t>
            </w:r>
          </w:p>
        </w:tc>
        <w:tc>
          <w:tcPr>
            <w:tcW w:w="399"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0.26</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0.24</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1.45</w:t>
            </w:r>
          </w:p>
        </w:tc>
      </w:tr>
      <w:tr w:rsidR="009413C3" w:rsidRPr="007C6579" w:rsidTr="007C6579">
        <w:trPr>
          <w:trHeight w:val="300"/>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color w:val="000000"/>
              </w:rPr>
            </w:pPr>
            <w:r w:rsidRPr="007C6579">
              <w:rPr>
                <w:rFonts w:ascii="Times New Roman" w:eastAsia="Times New Roman" w:hAnsi="Times New Roman"/>
                <w:color w:val="000000"/>
              </w:rPr>
              <w:t>Deposits</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1.23</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1.53</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1.56</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0.95</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0.96</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1.28</w:t>
            </w:r>
          </w:p>
        </w:tc>
        <w:tc>
          <w:tcPr>
            <w:tcW w:w="399"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1.19</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1.04</w:t>
            </w:r>
          </w:p>
        </w:tc>
        <w:tc>
          <w:tcPr>
            <w:tcW w:w="398" w:type="pct"/>
            <w:vAlign w:val="bottom"/>
          </w:tcPr>
          <w:p w:rsidR="009413C3" w:rsidRPr="007C6579" w:rsidRDefault="009413C3" w:rsidP="007C6579">
            <w:pPr>
              <w:spacing w:after="0" w:line="240" w:lineRule="auto"/>
              <w:jc w:val="right"/>
              <w:rPr>
                <w:rFonts w:ascii="Times New Roman" w:hAnsi="Times New Roman"/>
              </w:rPr>
            </w:pPr>
            <w:r w:rsidRPr="007C6579">
              <w:rPr>
                <w:rFonts w:ascii="Times New Roman" w:hAnsi="Times New Roman"/>
              </w:rPr>
              <w:t>1.11</w:t>
            </w:r>
          </w:p>
        </w:tc>
      </w:tr>
      <w:tr w:rsidR="009413C3" w:rsidRPr="007C6579" w:rsidTr="007C6579">
        <w:trPr>
          <w:trHeight w:val="300"/>
        </w:trPr>
        <w:tc>
          <w:tcPr>
            <w:tcW w:w="1404" w:type="pct"/>
            <w:shd w:val="clear" w:color="auto" w:fill="auto"/>
            <w:noWrap/>
            <w:vAlign w:val="bottom"/>
            <w:hideMark/>
          </w:tcPr>
          <w:p w:rsidR="009413C3" w:rsidRPr="007C6579" w:rsidRDefault="009413C3" w:rsidP="00DB3DE0">
            <w:pPr>
              <w:spacing w:after="0" w:line="240" w:lineRule="auto"/>
              <w:rPr>
                <w:rFonts w:ascii="Times New Roman" w:eastAsia="Times New Roman" w:hAnsi="Times New Roman"/>
                <w:b/>
                <w:bCs/>
                <w:color w:val="000000"/>
              </w:rPr>
            </w:pPr>
            <w:r w:rsidRPr="007C6579">
              <w:rPr>
                <w:rFonts w:ascii="Times New Roman" w:eastAsia="Times New Roman" w:hAnsi="Times New Roman"/>
                <w:b/>
                <w:bCs/>
                <w:color w:val="000000"/>
              </w:rPr>
              <w:t xml:space="preserve">Total Public Debt &amp; Other Liabilities </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30.39</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29.51</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32.84</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23.98</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23.81</w:t>
            </w:r>
          </w:p>
        </w:tc>
        <w:tc>
          <w:tcPr>
            <w:tcW w:w="400" w:type="pct"/>
            <w:shd w:val="clear" w:color="auto" w:fill="auto"/>
            <w:noWrap/>
            <w:vAlign w:val="bottom"/>
            <w:hideMark/>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24.90</w:t>
            </w:r>
          </w:p>
        </w:tc>
        <w:tc>
          <w:tcPr>
            <w:tcW w:w="399"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24.55</w:t>
            </w:r>
          </w:p>
        </w:tc>
        <w:tc>
          <w:tcPr>
            <w:tcW w:w="398"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23.65</w:t>
            </w:r>
          </w:p>
        </w:tc>
        <w:tc>
          <w:tcPr>
            <w:tcW w:w="398" w:type="pct"/>
            <w:vAlign w:val="bottom"/>
          </w:tcPr>
          <w:p w:rsidR="009413C3" w:rsidRPr="007C6579" w:rsidRDefault="009413C3" w:rsidP="007C6579">
            <w:pPr>
              <w:spacing w:after="0" w:line="240" w:lineRule="auto"/>
              <w:jc w:val="right"/>
              <w:rPr>
                <w:rFonts w:ascii="Times New Roman" w:hAnsi="Times New Roman"/>
                <w:b/>
              </w:rPr>
            </w:pPr>
            <w:r w:rsidRPr="007C6579">
              <w:rPr>
                <w:rFonts w:ascii="Times New Roman" w:hAnsi="Times New Roman"/>
                <w:b/>
              </w:rPr>
              <w:t>22.80</w:t>
            </w:r>
          </w:p>
        </w:tc>
      </w:tr>
    </w:tbl>
    <w:p w:rsidR="00243A31" w:rsidRPr="00DB3DE0" w:rsidRDefault="00243A31" w:rsidP="00173681">
      <w:pPr>
        <w:autoSpaceDE w:val="0"/>
        <w:autoSpaceDN w:val="0"/>
        <w:adjustRightInd w:val="0"/>
        <w:spacing w:after="0" w:line="240" w:lineRule="auto"/>
        <w:jc w:val="both"/>
        <w:rPr>
          <w:rFonts w:ascii="Times New Roman" w:eastAsia="Times New Roman" w:hAnsi="Times New Roman"/>
          <w:sz w:val="20"/>
          <w:szCs w:val="20"/>
        </w:rPr>
      </w:pPr>
      <w:r w:rsidRPr="007C6579">
        <w:rPr>
          <w:rFonts w:ascii="Times New Roman" w:eastAsia="Times New Roman" w:hAnsi="Times New Roman"/>
          <w:b/>
          <w:sz w:val="20"/>
          <w:szCs w:val="20"/>
        </w:rPr>
        <w:t>Source</w:t>
      </w:r>
      <w:r w:rsidRPr="00DB3DE0">
        <w:rPr>
          <w:rFonts w:ascii="Times New Roman" w:eastAsia="Times New Roman" w:hAnsi="Times New Roman"/>
          <w:sz w:val="20"/>
          <w:szCs w:val="20"/>
        </w:rPr>
        <w:t xml:space="preserve"> (Basic Data): Finance Accounts, Relevant Years</w:t>
      </w:r>
      <w:r w:rsidR="00F5229F" w:rsidRPr="00DB3DE0">
        <w:rPr>
          <w:rFonts w:ascii="Times New Roman" w:eastAsia="Times New Roman" w:hAnsi="Times New Roman"/>
          <w:sz w:val="20"/>
          <w:szCs w:val="20"/>
        </w:rPr>
        <w:t>.</w:t>
      </w:r>
      <w:r w:rsidR="00F776CD" w:rsidRPr="00DB3DE0">
        <w:rPr>
          <w:rFonts w:ascii="Times New Roman" w:eastAsia="Times New Roman" w:hAnsi="Times New Roman"/>
          <w:sz w:val="20"/>
          <w:szCs w:val="20"/>
        </w:rPr>
        <w:t xml:space="preserve"> For GSDP data, figures used in state budget are used here to find the ratios.</w:t>
      </w:r>
    </w:p>
    <w:p w:rsidR="00ED6302" w:rsidRDefault="00ED6302" w:rsidP="00153673">
      <w:pPr>
        <w:spacing w:after="0" w:line="360" w:lineRule="auto"/>
        <w:jc w:val="both"/>
        <w:rPr>
          <w:rFonts w:ascii="Times New Roman" w:eastAsiaTheme="minorHAnsi"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CC2721" w:rsidRDefault="00CC2721" w:rsidP="00153673">
      <w:pPr>
        <w:spacing w:after="0" w:line="360" w:lineRule="auto"/>
        <w:jc w:val="both"/>
        <w:rPr>
          <w:rFonts w:ascii="Times New Roman" w:eastAsia="Times New Roman" w:hAnsi="Times New Roman"/>
          <w:sz w:val="24"/>
          <w:szCs w:val="24"/>
        </w:rPr>
      </w:pPr>
    </w:p>
    <w:p w:rsidR="00A41626" w:rsidRPr="00A41626" w:rsidRDefault="00A41626" w:rsidP="00F54CCD">
      <w:pPr>
        <w:pStyle w:val="ListParagraph"/>
        <w:numPr>
          <w:ilvl w:val="0"/>
          <w:numId w:val="10"/>
        </w:numPr>
        <w:spacing w:after="0" w:line="240" w:lineRule="auto"/>
        <w:jc w:val="center"/>
        <w:rPr>
          <w:rFonts w:ascii="Times New Roman" w:eastAsiaTheme="majorEastAsia" w:hAnsi="Times New Roman"/>
          <w:b/>
          <w:bCs/>
          <w:spacing w:val="-10"/>
          <w:kern w:val="28"/>
          <w:sz w:val="48"/>
          <w:szCs w:val="48"/>
        </w:rPr>
      </w:pPr>
      <w:r w:rsidRPr="00A41626">
        <w:rPr>
          <w:rFonts w:ascii="Times New Roman" w:eastAsiaTheme="majorEastAsia" w:hAnsi="Times New Roman"/>
          <w:b/>
          <w:bCs/>
          <w:spacing w:val="-10"/>
          <w:kern w:val="28"/>
          <w:sz w:val="48"/>
          <w:szCs w:val="48"/>
        </w:rPr>
        <w:lastRenderedPageBreak/>
        <w:t>Compliance to Provisions of FRBM Act</w:t>
      </w:r>
      <w:r w:rsidR="00366122">
        <w:rPr>
          <w:rFonts w:ascii="Times New Roman" w:eastAsiaTheme="majorEastAsia" w:hAnsi="Times New Roman"/>
          <w:b/>
          <w:bCs/>
          <w:spacing w:val="-10"/>
          <w:kern w:val="28"/>
          <w:sz w:val="48"/>
          <w:szCs w:val="48"/>
        </w:rPr>
        <w:t xml:space="preserve"> – 2019-20</w:t>
      </w:r>
    </w:p>
    <w:p w:rsidR="00A456B7" w:rsidRDefault="00A456B7" w:rsidP="00A456B7">
      <w:pPr>
        <w:rPr>
          <w:szCs w:val="24"/>
        </w:rPr>
      </w:pPr>
    </w:p>
    <w:p w:rsidR="00EB028C" w:rsidRDefault="00B10623" w:rsidP="00B10623">
      <w:pPr>
        <w:spacing w:after="0" w:line="360" w:lineRule="auto"/>
        <w:jc w:val="both"/>
        <w:rPr>
          <w:rFonts w:ascii="Times New Roman" w:eastAsiaTheme="minorHAnsi" w:hAnsi="Times New Roman"/>
          <w:sz w:val="24"/>
          <w:szCs w:val="24"/>
        </w:rPr>
      </w:pPr>
      <w:r w:rsidRPr="00A456B7">
        <w:rPr>
          <w:rFonts w:ascii="Times New Roman" w:eastAsiaTheme="minorHAnsi" w:hAnsi="Times New Roman"/>
          <w:sz w:val="24"/>
          <w:szCs w:val="24"/>
        </w:rPr>
        <w:t>The assessment of compliance of the state government to the FR</w:t>
      </w:r>
      <w:r>
        <w:rPr>
          <w:rFonts w:ascii="Times New Roman" w:eastAsiaTheme="minorHAnsi" w:hAnsi="Times New Roman"/>
          <w:sz w:val="24"/>
          <w:szCs w:val="24"/>
        </w:rPr>
        <w:t xml:space="preserve">BM Act provisions for the year </w:t>
      </w:r>
      <w:r w:rsidRPr="00A456B7">
        <w:rPr>
          <w:rFonts w:ascii="Times New Roman" w:eastAsiaTheme="minorHAnsi" w:hAnsi="Times New Roman"/>
          <w:sz w:val="24"/>
          <w:szCs w:val="24"/>
        </w:rPr>
        <w:t>201</w:t>
      </w:r>
      <w:r w:rsidR="008F1671">
        <w:rPr>
          <w:rFonts w:ascii="Times New Roman" w:eastAsiaTheme="minorHAnsi" w:hAnsi="Times New Roman"/>
          <w:sz w:val="24"/>
          <w:szCs w:val="24"/>
        </w:rPr>
        <w:t>9-20</w:t>
      </w:r>
      <w:r w:rsidRPr="00A456B7">
        <w:rPr>
          <w:rFonts w:ascii="Times New Roman" w:eastAsiaTheme="minorHAnsi" w:hAnsi="Times New Roman"/>
          <w:sz w:val="24"/>
          <w:szCs w:val="24"/>
        </w:rPr>
        <w:t xml:space="preserve"> </w:t>
      </w:r>
      <w:r w:rsidR="008F1671">
        <w:rPr>
          <w:rFonts w:ascii="Times New Roman" w:eastAsiaTheme="minorHAnsi" w:hAnsi="Times New Roman"/>
          <w:sz w:val="24"/>
          <w:szCs w:val="24"/>
        </w:rPr>
        <w:t xml:space="preserve">assumes significance as this year </w:t>
      </w:r>
      <w:r w:rsidR="00793B8E">
        <w:rPr>
          <w:rFonts w:ascii="Times New Roman" w:eastAsiaTheme="minorHAnsi" w:hAnsi="Times New Roman"/>
          <w:sz w:val="24"/>
          <w:szCs w:val="24"/>
        </w:rPr>
        <w:t xml:space="preserve">posed severe </w:t>
      </w:r>
      <w:r w:rsidR="008F1671">
        <w:rPr>
          <w:rFonts w:ascii="Times New Roman" w:eastAsiaTheme="minorHAnsi" w:hAnsi="Times New Roman"/>
          <w:sz w:val="24"/>
          <w:szCs w:val="24"/>
        </w:rPr>
        <w:t xml:space="preserve">fiscal challenges </w:t>
      </w:r>
      <w:r w:rsidR="00793B8E">
        <w:rPr>
          <w:rFonts w:ascii="Times New Roman" w:eastAsiaTheme="minorHAnsi" w:hAnsi="Times New Roman"/>
          <w:sz w:val="24"/>
          <w:szCs w:val="24"/>
        </w:rPr>
        <w:t xml:space="preserve">due to significant decline in resource availability. </w:t>
      </w:r>
      <w:r w:rsidR="008F1671">
        <w:rPr>
          <w:rFonts w:ascii="Times New Roman" w:eastAsiaTheme="minorHAnsi" w:hAnsi="Times New Roman"/>
          <w:sz w:val="24"/>
          <w:szCs w:val="24"/>
        </w:rPr>
        <w:t xml:space="preserve">The fiscal year 2019-20 is also important </w:t>
      </w:r>
      <w:r w:rsidRPr="00A456B7">
        <w:rPr>
          <w:rFonts w:ascii="Times New Roman" w:eastAsiaTheme="minorHAnsi" w:hAnsi="Times New Roman"/>
          <w:sz w:val="24"/>
          <w:szCs w:val="24"/>
        </w:rPr>
        <w:t>to evaluate state’s capacity, commitment</w:t>
      </w:r>
      <w:r w:rsidR="00793B8E">
        <w:rPr>
          <w:rFonts w:ascii="Times New Roman" w:eastAsiaTheme="minorHAnsi" w:hAnsi="Times New Roman"/>
          <w:sz w:val="24"/>
          <w:szCs w:val="24"/>
        </w:rPr>
        <w:t>,</w:t>
      </w:r>
      <w:r w:rsidRPr="00A456B7">
        <w:rPr>
          <w:rFonts w:ascii="Times New Roman" w:eastAsiaTheme="minorHAnsi" w:hAnsi="Times New Roman"/>
          <w:sz w:val="24"/>
          <w:szCs w:val="24"/>
        </w:rPr>
        <w:t xml:space="preserve"> and fiscal management practices in pre-</w:t>
      </w:r>
      <w:r w:rsidR="008F1671">
        <w:rPr>
          <w:rFonts w:ascii="Times New Roman" w:eastAsiaTheme="minorHAnsi" w:hAnsi="Times New Roman"/>
          <w:sz w:val="24"/>
          <w:szCs w:val="24"/>
        </w:rPr>
        <w:t xml:space="preserve">pandemic </w:t>
      </w:r>
      <w:r w:rsidRPr="00A456B7">
        <w:rPr>
          <w:rFonts w:ascii="Times New Roman" w:eastAsiaTheme="minorHAnsi" w:hAnsi="Times New Roman"/>
          <w:sz w:val="24"/>
          <w:szCs w:val="24"/>
        </w:rPr>
        <w:t xml:space="preserve">period. This is the period, when the states were facing resource problem and fiscal stress was building up. </w:t>
      </w:r>
      <w:r w:rsidR="00EB028C">
        <w:rPr>
          <w:rFonts w:ascii="Times New Roman" w:eastAsiaTheme="minorHAnsi" w:hAnsi="Times New Roman"/>
          <w:sz w:val="24"/>
          <w:szCs w:val="24"/>
        </w:rPr>
        <w:t xml:space="preserve">It is </w:t>
      </w:r>
      <w:r w:rsidR="00B60A04">
        <w:rPr>
          <w:rFonts w:ascii="Times New Roman" w:eastAsiaTheme="minorHAnsi" w:hAnsi="Times New Roman"/>
          <w:sz w:val="24"/>
          <w:szCs w:val="24"/>
        </w:rPr>
        <w:t xml:space="preserve">demanding </w:t>
      </w:r>
      <w:r w:rsidR="00EB028C">
        <w:rPr>
          <w:rFonts w:ascii="Times New Roman" w:eastAsiaTheme="minorHAnsi" w:hAnsi="Times New Roman"/>
          <w:sz w:val="24"/>
          <w:szCs w:val="24"/>
        </w:rPr>
        <w:t>f</w:t>
      </w:r>
      <w:r w:rsidR="008F1671">
        <w:rPr>
          <w:rFonts w:ascii="Times New Roman" w:eastAsiaTheme="minorHAnsi" w:hAnsi="Times New Roman"/>
          <w:sz w:val="24"/>
          <w:szCs w:val="24"/>
        </w:rPr>
        <w:t xml:space="preserve">or a state like Sikkim </w:t>
      </w:r>
      <w:r w:rsidR="00EB028C">
        <w:rPr>
          <w:rFonts w:ascii="Times New Roman" w:eastAsiaTheme="minorHAnsi" w:hAnsi="Times New Roman"/>
          <w:sz w:val="24"/>
          <w:szCs w:val="24"/>
        </w:rPr>
        <w:t xml:space="preserve">to remain on fiscal consolidation path when confronted with large scale deterioration in resource envelope. Prudency in </w:t>
      </w:r>
      <w:r w:rsidRPr="00A456B7">
        <w:rPr>
          <w:rFonts w:ascii="Times New Roman" w:eastAsiaTheme="minorHAnsi" w:hAnsi="Times New Roman"/>
          <w:sz w:val="24"/>
          <w:szCs w:val="24"/>
        </w:rPr>
        <w:t>fiscal management</w:t>
      </w:r>
      <w:r w:rsidR="00EB028C">
        <w:rPr>
          <w:rFonts w:ascii="Times New Roman" w:eastAsiaTheme="minorHAnsi" w:hAnsi="Times New Roman"/>
          <w:sz w:val="24"/>
          <w:szCs w:val="24"/>
        </w:rPr>
        <w:t xml:space="preserve"> needs to be calibrated keeping the state responsibilities and commitments in consideration. </w:t>
      </w:r>
    </w:p>
    <w:p w:rsidR="00C45C43" w:rsidRDefault="00C45C43" w:rsidP="00B10623">
      <w:pPr>
        <w:spacing w:after="0" w:line="360" w:lineRule="auto"/>
        <w:jc w:val="both"/>
        <w:rPr>
          <w:rFonts w:ascii="Times New Roman" w:eastAsiaTheme="minorHAnsi" w:hAnsi="Times New Roman"/>
          <w:sz w:val="24"/>
          <w:szCs w:val="24"/>
        </w:rPr>
      </w:pPr>
    </w:p>
    <w:p w:rsidR="00A456B7" w:rsidRDefault="00083660" w:rsidP="00C45C43">
      <w:pPr>
        <w:spacing w:after="120" w:line="360" w:lineRule="auto"/>
        <w:jc w:val="both"/>
        <w:rPr>
          <w:rFonts w:ascii="Times New Roman" w:hAnsi="Times New Roman"/>
          <w:sz w:val="24"/>
          <w:szCs w:val="24"/>
        </w:rPr>
      </w:pPr>
      <w:r>
        <w:rPr>
          <w:rFonts w:ascii="Times New Roman" w:hAnsi="Times New Roman"/>
          <w:sz w:val="24"/>
          <w:szCs w:val="24"/>
        </w:rPr>
        <w:t>C</w:t>
      </w:r>
      <w:r w:rsidRPr="00A456B7">
        <w:rPr>
          <w:rFonts w:ascii="Times New Roman" w:hAnsi="Times New Roman"/>
          <w:sz w:val="24"/>
          <w:szCs w:val="24"/>
        </w:rPr>
        <w:t xml:space="preserve">onventional budgeting is an open-ended process that does not restrict government spending based on popular demands beyond its resource capacity resulting in fiscal imbalances. </w:t>
      </w:r>
      <w:r>
        <w:rPr>
          <w:rFonts w:ascii="Times New Roman" w:hAnsi="Times New Roman"/>
          <w:sz w:val="24"/>
          <w:szCs w:val="24"/>
        </w:rPr>
        <w:t>E</w:t>
      </w:r>
      <w:r w:rsidRPr="00A456B7">
        <w:rPr>
          <w:rFonts w:ascii="Times New Roman" w:hAnsi="Times New Roman"/>
          <w:sz w:val="24"/>
          <w:szCs w:val="24"/>
        </w:rPr>
        <w:t>stablished budgeting rules and regulations</w:t>
      </w:r>
      <w:r>
        <w:rPr>
          <w:rFonts w:ascii="Times New Roman" w:hAnsi="Times New Roman"/>
          <w:sz w:val="24"/>
          <w:szCs w:val="24"/>
        </w:rPr>
        <w:t xml:space="preserve"> also do not help in observing the agreed upon fiscal targets. It is the </w:t>
      </w:r>
      <w:r w:rsidRPr="00A456B7">
        <w:rPr>
          <w:rFonts w:ascii="Times New Roman" w:hAnsi="Times New Roman"/>
          <w:sz w:val="24"/>
          <w:szCs w:val="24"/>
        </w:rPr>
        <w:t xml:space="preserve">fiscal rules (in the form of FRBM Act) </w:t>
      </w:r>
      <w:r>
        <w:rPr>
          <w:rFonts w:ascii="Times New Roman" w:hAnsi="Times New Roman"/>
          <w:sz w:val="24"/>
          <w:szCs w:val="24"/>
        </w:rPr>
        <w:t xml:space="preserve">that </w:t>
      </w:r>
      <w:r w:rsidRPr="00A456B7">
        <w:rPr>
          <w:rFonts w:ascii="Times New Roman" w:hAnsi="Times New Roman"/>
          <w:sz w:val="24"/>
          <w:szCs w:val="24"/>
        </w:rPr>
        <w:t>facilitat</w:t>
      </w:r>
      <w:r>
        <w:rPr>
          <w:rFonts w:ascii="Times New Roman" w:hAnsi="Times New Roman"/>
          <w:sz w:val="24"/>
          <w:szCs w:val="24"/>
        </w:rPr>
        <w:t xml:space="preserve">es </w:t>
      </w:r>
      <w:r w:rsidRPr="00A456B7">
        <w:rPr>
          <w:rFonts w:ascii="Times New Roman" w:hAnsi="Times New Roman"/>
          <w:sz w:val="24"/>
          <w:szCs w:val="24"/>
        </w:rPr>
        <w:t>budgeting within fixed constraints</w:t>
      </w:r>
      <w:r>
        <w:rPr>
          <w:rFonts w:ascii="Times New Roman" w:hAnsi="Times New Roman"/>
          <w:sz w:val="24"/>
          <w:szCs w:val="24"/>
        </w:rPr>
        <w:t xml:space="preserve"> stipulated through annual </w:t>
      </w:r>
      <w:r w:rsidRPr="00A456B7">
        <w:rPr>
          <w:rFonts w:ascii="Times New Roman" w:hAnsi="Times New Roman"/>
          <w:sz w:val="24"/>
          <w:szCs w:val="24"/>
        </w:rPr>
        <w:t>targets</w:t>
      </w:r>
      <w:r>
        <w:rPr>
          <w:rFonts w:ascii="Times New Roman" w:hAnsi="Times New Roman"/>
          <w:sz w:val="24"/>
          <w:szCs w:val="24"/>
        </w:rPr>
        <w:t xml:space="preserve">, improves </w:t>
      </w:r>
      <w:r w:rsidRPr="00A456B7">
        <w:rPr>
          <w:rFonts w:ascii="Times New Roman" w:hAnsi="Times New Roman"/>
          <w:sz w:val="24"/>
          <w:szCs w:val="24"/>
        </w:rPr>
        <w:t xml:space="preserve">transparency and </w:t>
      </w:r>
      <w:r>
        <w:rPr>
          <w:rFonts w:ascii="Times New Roman" w:hAnsi="Times New Roman"/>
          <w:sz w:val="24"/>
          <w:szCs w:val="24"/>
        </w:rPr>
        <w:t xml:space="preserve">enhances </w:t>
      </w:r>
      <w:r w:rsidRPr="00A456B7">
        <w:rPr>
          <w:rFonts w:ascii="Times New Roman" w:hAnsi="Times New Roman"/>
          <w:sz w:val="24"/>
          <w:szCs w:val="24"/>
        </w:rPr>
        <w:t>political acceptance</w:t>
      </w:r>
      <w:r>
        <w:rPr>
          <w:rFonts w:ascii="Times New Roman" w:hAnsi="Times New Roman"/>
          <w:sz w:val="24"/>
          <w:szCs w:val="24"/>
        </w:rPr>
        <w:t xml:space="preserve">. However, it is crucial to acknowledge that economic condition generally determines its adherence. </w:t>
      </w:r>
    </w:p>
    <w:p w:rsidR="00C45C43" w:rsidRDefault="00C45C43" w:rsidP="00C45C43">
      <w:pPr>
        <w:spacing w:after="120" w:line="360" w:lineRule="auto"/>
        <w:jc w:val="both"/>
        <w:rPr>
          <w:rFonts w:ascii="Times New Roman" w:hAnsi="Times New Roman"/>
          <w:sz w:val="24"/>
          <w:szCs w:val="24"/>
        </w:rPr>
      </w:pPr>
    </w:p>
    <w:p w:rsidR="00A456B7" w:rsidRDefault="00C45C43" w:rsidP="00C45C43">
      <w:pPr>
        <w:spacing w:after="0" w:line="360" w:lineRule="auto"/>
        <w:jc w:val="both"/>
        <w:rPr>
          <w:rFonts w:ascii="Times New Roman" w:hAnsi="Times New Roman"/>
          <w:sz w:val="24"/>
          <w:szCs w:val="24"/>
        </w:rPr>
      </w:pPr>
      <w:r w:rsidRPr="00C45C43">
        <w:rPr>
          <w:rFonts w:ascii="Times New Roman" w:hAnsi="Times New Roman"/>
          <w:sz w:val="24"/>
          <w:szCs w:val="24"/>
        </w:rPr>
        <w:t xml:space="preserve">The assessment report in addition to fiscal targets, looks into issues like establishing fiscal transparency, medium term framework for budget management, improving budget predictability, and improving institutional measures. These are </w:t>
      </w:r>
      <w:r w:rsidR="00F40988">
        <w:rPr>
          <w:rFonts w:ascii="Times New Roman" w:hAnsi="Times New Roman"/>
          <w:sz w:val="24"/>
          <w:szCs w:val="24"/>
        </w:rPr>
        <w:t xml:space="preserve">the </w:t>
      </w:r>
      <w:r w:rsidRPr="00C45C43">
        <w:rPr>
          <w:rFonts w:ascii="Times New Roman" w:hAnsi="Times New Roman"/>
          <w:sz w:val="24"/>
          <w:szCs w:val="24"/>
        </w:rPr>
        <w:t>key features of a sound public financial management system and are part of building blocks of FRBM Act.</w:t>
      </w:r>
    </w:p>
    <w:p w:rsidR="00C45C43" w:rsidRPr="00C45C43" w:rsidRDefault="00C45C43" w:rsidP="00C45C43">
      <w:pPr>
        <w:spacing w:after="0" w:line="360" w:lineRule="auto"/>
        <w:jc w:val="both"/>
        <w:rPr>
          <w:rFonts w:ascii="Times New Roman" w:hAnsi="Times New Roman"/>
          <w:sz w:val="24"/>
          <w:szCs w:val="24"/>
        </w:rPr>
      </w:pPr>
    </w:p>
    <w:p w:rsidR="00243A31" w:rsidRPr="0064263A" w:rsidRDefault="0064263A" w:rsidP="0064263A">
      <w:pPr>
        <w:pStyle w:val="ListParagraph"/>
        <w:numPr>
          <w:ilvl w:val="1"/>
          <w:numId w:val="10"/>
        </w:numPr>
        <w:spacing w:after="0" w:line="360" w:lineRule="auto"/>
        <w:rPr>
          <w:rFonts w:ascii="Times New Roman" w:hAnsi="Times New Roman"/>
          <w:b/>
          <w:sz w:val="24"/>
          <w:szCs w:val="24"/>
        </w:rPr>
      </w:pPr>
      <w:r>
        <w:rPr>
          <w:rFonts w:ascii="Times New Roman" w:hAnsi="Times New Roman"/>
          <w:b/>
          <w:sz w:val="24"/>
          <w:szCs w:val="24"/>
        </w:rPr>
        <w:t xml:space="preserve">Provisions of </w:t>
      </w:r>
      <w:r w:rsidR="00C45C43">
        <w:rPr>
          <w:rFonts w:ascii="Times New Roman" w:hAnsi="Times New Roman"/>
          <w:b/>
          <w:sz w:val="24"/>
          <w:szCs w:val="24"/>
        </w:rPr>
        <w:t xml:space="preserve">Sikkim </w:t>
      </w:r>
      <w:r w:rsidR="00243A31" w:rsidRPr="0064263A">
        <w:rPr>
          <w:rFonts w:ascii="Times New Roman" w:hAnsi="Times New Roman"/>
          <w:b/>
          <w:sz w:val="24"/>
          <w:szCs w:val="24"/>
        </w:rPr>
        <w:t xml:space="preserve">FRBM </w:t>
      </w:r>
      <w:r>
        <w:rPr>
          <w:rFonts w:ascii="Times New Roman" w:hAnsi="Times New Roman"/>
          <w:b/>
          <w:sz w:val="24"/>
          <w:szCs w:val="24"/>
        </w:rPr>
        <w:t xml:space="preserve">Act </w:t>
      </w:r>
      <w:r w:rsidR="00243A31" w:rsidRPr="0064263A">
        <w:rPr>
          <w:rFonts w:ascii="Times New Roman" w:hAnsi="Times New Roman"/>
          <w:b/>
          <w:sz w:val="24"/>
          <w:szCs w:val="24"/>
        </w:rPr>
        <w:t xml:space="preserve"> </w:t>
      </w:r>
    </w:p>
    <w:p w:rsidR="00243A31" w:rsidRPr="001204FE" w:rsidRDefault="00D15AD4" w:rsidP="00064944">
      <w:pPr>
        <w:spacing w:before="200" w:after="0" w:line="360" w:lineRule="auto"/>
        <w:jc w:val="both"/>
        <w:rPr>
          <w:rFonts w:ascii="Times New Roman" w:hAnsi="Times New Roman"/>
          <w:sz w:val="24"/>
          <w:szCs w:val="24"/>
        </w:rPr>
      </w:pPr>
      <w:r>
        <w:rPr>
          <w:rFonts w:ascii="Times New Roman" w:hAnsi="Times New Roman"/>
          <w:sz w:val="24"/>
          <w:szCs w:val="24"/>
        </w:rPr>
        <w:t>M</w:t>
      </w:r>
      <w:r w:rsidR="001A6B8D">
        <w:rPr>
          <w:rFonts w:ascii="Times New Roman" w:hAnsi="Times New Roman"/>
          <w:sz w:val="24"/>
          <w:szCs w:val="24"/>
        </w:rPr>
        <w:t xml:space="preserve">ajor milestones in </w:t>
      </w:r>
      <w:r w:rsidR="00576A15" w:rsidRPr="001204FE">
        <w:rPr>
          <w:rFonts w:ascii="Times New Roman" w:hAnsi="Times New Roman"/>
          <w:sz w:val="24"/>
          <w:szCs w:val="24"/>
        </w:rPr>
        <w:t xml:space="preserve">fiscal consolidation process </w:t>
      </w:r>
      <w:r w:rsidR="001A6B8D">
        <w:rPr>
          <w:rFonts w:ascii="Times New Roman" w:hAnsi="Times New Roman"/>
          <w:sz w:val="24"/>
          <w:szCs w:val="24"/>
        </w:rPr>
        <w:t xml:space="preserve">includes </w:t>
      </w:r>
      <w:r w:rsidR="00576A15" w:rsidRPr="001204FE">
        <w:rPr>
          <w:rFonts w:ascii="Times New Roman" w:hAnsi="Times New Roman"/>
          <w:sz w:val="24"/>
          <w:szCs w:val="24"/>
        </w:rPr>
        <w:t>maintaining balance in revenue account</w:t>
      </w:r>
      <w:r w:rsidR="001A6B8D">
        <w:rPr>
          <w:rFonts w:ascii="Times New Roman" w:hAnsi="Times New Roman"/>
          <w:sz w:val="24"/>
          <w:szCs w:val="24"/>
        </w:rPr>
        <w:t xml:space="preserve">, limiting </w:t>
      </w:r>
      <w:r w:rsidR="00576A15" w:rsidRPr="001204FE">
        <w:rPr>
          <w:rFonts w:ascii="Times New Roman" w:hAnsi="Times New Roman"/>
          <w:sz w:val="24"/>
          <w:szCs w:val="24"/>
        </w:rPr>
        <w:t xml:space="preserve">fiscal deficit </w:t>
      </w:r>
      <w:r w:rsidR="001A6B8D">
        <w:rPr>
          <w:rFonts w:ascii="Times New Roman" w:hAnsi="Times New Roman"/>
          <w:sz w:val="24"/>
          <w:szCs w:val="24"/>
        </w:rPr>
        <w:t xml:space="preserve">to fiscal rules targets </w:t>
      </w:r>
      <w:r w:rsidR="00576A15" w:rsidRPr="001204FE">
        <w:rPr>
          <w:rFonts w:ascii="Times New Roman" w:hAnsi="Times New Roman"/>
          <w:sz w:val="24"/>
          <w:szCs w:val="24"/>
        </w:rPr>
        <w:t xml:space="preserve">and prudent debt management. </w:t>
      </w:r>
      <w:r w:rsidR="00243A31" w:rsidRPr="001204FE">
        <w:rPr>
          <w:rFonts w:ascii="Times New Roman" w:hAnsi="Times New Roman"/>
          <w:sz w:val="24"/>
          <w:szCs w:val="24"/>
        </w:rPr>
        <w:t xml:space="preserve">The FRBM Act </w:t>
      </w:r>
      <w:r w:rsidR="0076446F" w:rsidRPr="001204FE">
        <w:rPr>
          <w:rFonts w:ascii="Times New Roman" w:hAnsi="Times New Roman"/>
          <w:sz w:val="24"/>
          <w:szCs w:val="24"/>
        </w:rPr>
        <w:t xml:space="preserve">of the State, </w:t>
      </w:r>
      <w:r w:rsidR="00254846">
        <w:rPr>
          <w:rFonts w:ascii="Times New Roman" w:hAnsi="Times New Roman"/>
          <w:sz w:val="24"/>
          <w:szCs w:val="24"/>
        </w:rPr>
        <w:t>stipulates the</w:t>
      </w:r>
      <w:r w:rsidR="001A6B8D">
        <w:rPr>
          <w:rFonts w:ascii="Times New Roman" w:hAnsi="Times New Roman"/>
          <w:sz w:val="24"/>
          <w:szCs w:val="24"/>
        </w:rPr>
        <w:t xml:space="preserve">se </w:t>
      </w:r>
      <w:r w:rsidR="0076446F" w:rsidRPr="001204FE">
        <w:rPr>
          <w:rFonts w:ascii="Times New Roman" w:hAnsi="Times New Roman"/>
          <w:sz w:val="24"/>
          <w:szCs w:val="24"/>
        </w:rPr>
        <w:t xml:space="preserve">fiscal targets </w:t>
      </w:r>
      <w:r w:rsidR="003F5466">
        <w:rPr>
          <w:rFonts w:ascii="Times New Roman" w:hAnsi="Times New Roman"/>
          <w:sz w:val="24"/>
          <w:szCs w:val="24"/>
        </w:rPr>
        <w:t xml:space="preserve">and </w:t>
      </w:r>
      <w:r w:rsidR="00254846">
        <w:rPr>
          <w:rFonts w:ascii="Times New Roman" w:hAnsi="Times New Roman"/>
          <w:sz w:val="24"/>
          <w:szCs w:val="24"/>
        </w:rPr>
        <w:t>contains the broad fiscal management pr</w:t>
      </w:r>
      <w:r w:rsidR="003F5466">
        <w:rPr>
          <w:rFonts w:ascii="Times New Roman" w:hAnsi="Times New Roman"/>
          <w:sz w:val="24"/>
          <w:szCs w:val="24"/>
        </w:rPr>
        <w:t xml:space="preserve">inciples </w:t>
      </w:r>
      <w:r w:rsidR="001A6B8D">
        <w:rPr>
          <w:rFonts w:ascii="Times New Roman" w:hAnsi="Times New Roman"/>
          <w:sz w:val="24"/>
          <w:szCs w:val="24"/>
        </w:rPr>
        <w:t xml:space="preserve">and transparency </w:t>
      </w:r>
      <w:r w:rsidR="003F5466">
        <w:rPr>
          <w:rFonts w:ascii="Times New Roman" w:hAnsi="Times New Roman"/>
          <w:sz w:val="24"/>
          <w:szCs w:val="24"/>
        </w:rPr>
        <w:t>measures</w:t>
      </w:r>
      <w:r w:rsidR="00254846">
        <w:rPr>
          <w:rFonts w:ascii="Times New Roman" w:hAnsi="Times New Roman"/>
          <w:sz w:val="24"/>
          <w:szCs w:val="24"/>
        </w:rPr>
        <w:t>.</w:t>
      </w:r>
      <w:r w:rsidR="0076446F" w:rsidRPr="001204FE">
        <w:rPr>
          <w:rFonts w:ascii="Times New Roman" w:hAnsi="Times New Roman"/>
          <w:sz w:val="24"/>
          <w:szCs w:val="24"/>
        </w:rPr>
        <w:t xml:space="preserve"> </w:t>
      </w:r>
      <w:r w:rsidR="00243A31" w:rsidRPr="001204FE">
        <w:rPr>
          <w:rFonts w:ascii="Times New Roman" w:hAnsi="Times New Roman"/>
          <w:sz w:val="24"/>
          <w:szCs w:val="24"/>
        </w:rPr>
        <w:t>The major provisions of the</w:t>
      </w:r>
      <w:r w:rsidR="00F40988">
        <w:rPr>
          <w:rFonts w:ascii="Times New Roman" w:hAnsi="Times New Roman"/>
          <w:sz w:val="24"/>
          <w:szCs w:val="24"/>
        </w:rPr>
        <w:t xml:space="preserve"> Sikkim FRBM Act are as follows:</w:t>
      </w:r>
    </w:p>
    <w:p w:rsidR="00243A31" w:rsidRPr="001204FE" w:rsidRDefault="00243A31" w:rsidP="00243A31">
      <w:pPr>
        <w:pStyle w:val="ListParagraph"/>
        <w:numPr>
          <w:ilvl w:val="0"/>
          <w:numId w:val="2"/>
        </w:numPr>
        <w:spacing w:after="0" w:line="360" w:lineRule="auto"/>
        <w:jc w:val="both"/>
        <w:rPr>
          <w:rFonts w:ascii="Times New Roman" w:hAnsi="Times New Roman"/>
          <w:sz w:val="24"/>
          <w:szCs w:val="24"/>
        </w:rPr>
      </w:pPr>
      <w:r w:rsidRPr="001204FE">
        <w:rPr>
          <w:rFonts w:ascii="Times New Roman" w:hAnsi="Times New Roman"/>
          <w:sz w:val="24"/>
          <w:szCs w:val="24"/>
        </w:rPr>
        <w:t>Present a Medium Term Fiscal Plan (MTFP)</w:t>
      </w:r>
    </w:p>
    <w:p w:rsidR="00243A31" w:rsidRPr="001204FE" w:rsidRDefault="00243A31" w:rsidP="00243A31">
      <w:pPr>
        <w:pStyle w:val="ListParagraph"/>
        <w:numPr>
          <w:ilvl w:val="0"/>
          <w:numId w:val="2"/>
        </w:numPr>
        <w:spacing w:after="0" w:line="360" w:lineRule="auto"/>
        <w:jc w:val="both"/>
        <w:rPr>
          <w:rFonts w:ascii="Times New Roman" w:hAnsi="Times New Roman"/>
          <w:sz w:val="24"/>
          <w:szCs w:val="24"/>
        </w:rPr>
      </w:pPr>
      <w:r w:rsidRPr="001204FE">
        <w:rPr>
          <w:rFonts w:ascii="Times New Roman" w:hAnsi="Times New Roman"/>
          <w:sz w:val="24"/>
          <w:szCs w:val="24"/>
        </w:rPr>
        <w:lastRenderedPageBreak/>
        <w:t>Undertake appropriate fiscal management principles indicated in the Act to achieve the targets</w:t>
      </w:r>
    </w:p>
    <w:p w:rsidR="00243A31" w:rsidRPr="001204FE" w:rsidRDefault="00243A31" w:rsidP="00243A31">
      <w:pPr>
        <w:pStyle w:val="ListParagraph"/>
        <w:numPr>
          <w:ilvl w:val="0"/>
          <w:numId w:val="2"/>
        </w:numPr>
        <w:spacing w:after="0" w:line="360" w:lineRule="auto"/>
        <w:jc w:val="both"/>
        <w:rPr>
          <w:rFonts w:ascii="Times New Roman" w:hAnsi="Times New Roman"/>
          <w:sz w:val="24"/>
          <w:szCs w:val="24"/>
        </w:rPr>
      </w:pPr>
      <w:r w:rsidRPr="001204FE">
        <w:rPr>
          <w:rFonts w:ascii="Times New Roman" w:hAnsi="Times New Roman"/>
          <w:sz w:val="24"/>
          <w:szCs w:val="24"/>
        </w:rPr>
        <w:t xml:space="preserve">Achieve fiscal targets relating to deficit, stock of debt, and outstanding guarantees. </w:t>
      </w:r>
    </w:p>
    <w:p w:rsidR="00243A31" w:rsidRPr="001204FE" w:rsidRDefault="00243A31" w:rsidP="00243A31">
      <w:pPr>
        <w:pStyle w:val="ListParagraph"/>
        <w:numPr>
          <w:ilvl w:val="0"/>
          <w:numId w:val="2"/>
        </w:numPr>
        <w:spacing w:after="0" w:line="360" w:lineRule="auto"/>
        <w:jc w:val="both"/>
        <w:rPr>
          <w:rFonts w:ascii="Times New Roman" w:hAnsi="Times New Roman"/>
          <w:sz w:val="24"/>
          <w:szCs w:val="24"/>
        </w:rPr>
      </w:pPr>
      <w:r w:rsidRPr="001204FE">
        <w:rPr>
          <w:rFonts w:ascii="Times New Roman" w:hAnsi="Times New Roman"/>
          <w:sz w:val="24"/>
          <w:szCs w:val="24"/>
        </w:rPr>
        <w:t xml:space="preserve">Take suitable measures to ensure greater transparency in the fiscal operation. </w:t>
      </w:r>
    </w:p>
    <w:p w:rsidR="00243A31" w:rsidRPr="001204FE" w:rsidRDefault="00FF1B42" w:rsidP="00243A31">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Conform</w:t>
      </w:r>
      <w:r w:rsidR="00243A31" w:rsidRPr="001204FE">
        <w:rPr>
          <w:rFonts w:ascii="Times New Roman" w:hAnsi="Times New Roman"/>
          <w:sz w:val="24"/>
          <w:szCs w:val="24"/>
        </w:rPr>
        <w:t xml:space="preserve"> to the measures prescribed for enforcing compliance to the Act</w:t>
      </w:r>
      <w:r w:rsidR="00F40988">
        <w:rPr>
          <w:rFonts w:ascii="Times New Roman" w:hAnsi="Times New Roman"/>
          <w:sz w:val="24"/>
          <w:szCs w:val="24"/>
        </w:rPr>
        <w:t>.</w:t>
      </w:r>
    </w:p>
    <w:p w:rsidR="00243A31" w:rsidRDefault="00243A31" w:rsidP="00243A31">
      <w:pPr>
        <w:spacing w:after="0" w:line="360" w:lineRule="auto"/>
        <w:jc w:val="both"/>
        <w:rPr>
          <w:rFonts w:ascii="Times New Roman" w:hAnsi="Times New Roman"/>
          <w:sz w:val="24"/>
          <w:szCs w:val="24"/>
        </w:rPr>
      </w:pPr>
    </w:p>
    <w:p w:rsidR="00DB772D" w:rsidRPr="00DB772D" w:rsidRDefault="00DB772D" w:rsidP="00DB772D">
      <w:pPr>
        <w:spacing w:after="0" w:line="360" w:lineRule="auto"/>
        <w:jc w:val="both"/>
        <w:rPr>
          <w:rFonts w:ascii="Times New Roman" w:eastAsia="Times New Roman" w:hAnsi="Times New Roman"/>
          <w:sz w:val="24"/>
          <w:szCs w:val="24"/>
        </w:rPr>
      </w:pPr>
      <w:r w:rsidRPr="00DB772D">
        <w:rPr>
          <w:rFonts w:ascii="Times New Roman" w:eastAsia="Times New Roman" w:hAnsi="Times New Roman"/>
          <w:sz w:val="24"/>
          <w:szCs w:val="24"/>
        </w:rPr>
        <w:t>The rules associated with the Act further detail the requirements, documents to be prepared, and the quantitative limits of the fiscal indicators. The rules provide the form in which the medium-term fiscal statements are presented to provide relevant inform</w:t>
      </w:r>
      <w:r w:rsidR="00F40988">
        <w:rPr>
          <w:rFonts w:ascii="Times New Roman" w:eastAsia="Times New Roman" w:hAnsi="Times New Roman"/>
          <w:sz w:val="24"/>
          <w:szCs w:val="24"/>
        </w:rPr>
        <w:t>ation about g</w:t>
      </w:r>
      <w:r w:rsidRPr="00DB772D">
        <w:rPr>
          <w:rFonts w:ascii="Times New Roman" w:eastAsia="Times New Roman" w:hAnsi="Times New Roman"/>
          <w:sz w:val="24"/>
          <w:szCs w:val="24"/>
        </w:rPr>
        <w:t xml:space="preserve">overnment’s activities and enhance transparency. </w:t>
      </w:r>
    </w:p>
    <w:p w:rsidR="00DB772D" w:rsidRPr="00DB772D" w:rsidRDefault="00DB772D" w:rsidP="00DB772D">
      <w:pPr>
        <w:numPr>
          <w:ilvl w:val="0"/>
          <w:numId w:val="7"/>
        </w:numPr>
        <w:spacing w:after="0" w:line="360" w:lineRule="auto"/>
        <w:contextualSpacing/>
        <w:jc w:val="both"/>
        <w:rPr>
          <w:rFonts w:ascii="Times New Roman" w:eastAsia="Times New Roman" w:hAnsi="Times New Roman"/>
          <w:sz w:val="24"/>
          <w:szCs w:val="24"/>
        </w:rPr>
      </w:pPr>
      <w:r w:rsidRPr="00DB772D">
        <w:rPr>
          <w:rFonts w:ascii="Times New Roman" w:eastAsia="Times New Roman" w:hAnsi="Times New Roman"/>
          <w:b/>
          <w:sz w:val="24"/>
          <w:szCs w:val="24"/>
        </w:rPr>
        <w:t>The Macro-economic Statement:</w:t>
      </w:r>
      <w:r w:rsidRPr="00DB772D">
        <w:rPr>
          <w:rFonts w:ascii="Times New Roman" w:eastAsia="Times New Roman" w:hAnsi="Times New Roman"/>
          <w:sz w:val="24"/>
          <w:szCs w:val="24"/>
        </w:rPr>
        <w:t xml:space="preserve"> It is expected to give an overview of the state economy, analysis of GSDP growth, overview of state government finances and assessment regarding growth prospects and fiscal prospects.   </w:t>
      </w:r>
    </w:p>
    <w:p w:rsidR="00DB772D" w:rsidRPr="00DB772D" w:rsidRDefault="00DB772D" w:rsidP="00DB772D">
      <w:pPr>
        <w:numPr>
          <w:ilvl w:val="0"/>
          <w:numId w:val="7"/>
        </w:numPr>
        <w:spacing w:after="0" w:line="360" w:lineRule="auto"/>
        <w:contextualSpacing/>
        <w:jc w:val="both"/>
        <w:rPr>
          <w:rFonts w:ascii="Times New Roman" w:eastAsia="Times New Roman" w:hAnsi="Times New Roman"/>
          <w:sz w:val="24"/>
          <w:szCs w:val="24"/>
        </w:rPr>
      </w:pPr>
      <w:r w:rsidRPr="00DB772D">
        <w:rPr>
          <w:rFonts w:ascii="Times New Roman" w:eastAsia="Times New Roman" w:hAnsi="Times New Roman"/>
          <w:b/>
          <w:sz w:val="24"/>
          <w:szCs w:val="24"/>
        </w:rPr>
        <w:t>Medium Term Fiscal Policy Statement:</w:t>
      </w:r>
      <w:r w:rsidRPr="00DB772D">
        <w:rPr>
          <w:rFonts w:ascii="Times New Roman" w:eastAsia="Times New Roman" w:hAnsi="Times New Roman"/>
          <w:sz w:val="24"/>
          <w:szCs w:val="24"/>
        </w:rPr>
        <w:t xml:space="preserve"> The Medium-Term Fiscal Policy (MTFP) forms the core of the FRBM Act related documents. This statement gives t</w:t>
      </w:r>
      <w:r>
        <w:rPr>
          <w:rFonts w:ascii="Times New Roman" w:eastAsia="Times New Roman" w:hAnsi="Times New Roman"/>
          <w:sz w:val="24"/>
          <w:szCs w:val="24"/>
        </w:rPr>
        <w:t>wo</w:t>
      </w:r>
      <w:r w:rsidRPr="00DB772D">
        <w:rPr>
          <w:rFonts w:ascii="Times New Roman" w:eastAsia="Times New Roman" w:hAnsi="Times New Roman"/>
          <w:sz w:val="24"/>
          <w:szCs w:val="24"/>
        </w:rPr>
        <w:t>-year outward projection of fiscal outcomes like revenue deficit, fiscal deficit, and outstanding liabilities as percentage to the GSDP in addition to the revised estimates of current year and budget estimates of the ensuing year. The statement is supposed to include assumptions relating to the trend of fiscal variables leading to the projection of major fiscal outcomes. The MTFP gives assessment regarding the balance between revenue receipts and revenue expenditure and use of capital receipts for generating productive assets. Thus, the MTFP contains a fiscal plan of the state government for the ensuing budget year and three outward years.</w:t>
      </w:r>
    </w:p>
    <w:p w:rsidR="00DB772D" w:rsidRPr="00DB772D" w:rsidRDefault="00DB772D" w:rsidP="00DB772D">
      <w:pPr>
        <w:numPr>
          <w:ilvl w:val="0"/>
          <w:numId w:val="7"/>
        </w:numPr>
        <w:spacing w:after="0" w:line="360" w:lineRule="auto"/>
        <w:contextualSpacing/>
        <w:jc w:val="both"/>
        <w:rPr>
          <w:rFonts w:ascii="Times New Roman" w:eastAsia="Times New Roman" w:hAnsi="Times New Roman"/>
          <w:sz w:val="24"/>
          <w:szCs w:val="24"/>
        </w:rPr>
      </w:pPr>
      <w:r w:rsidRPr="00DB772D">
        <w:rPr>
          <w:rFonts w:ascii="Times New Roman" w:eastAsia="Times New Roman" w:hAnsi="Times New Roman"/>
          <w:b/>
          <w:sz w:val="24"/>
          <w:szCs w:val="24"/>
        </w:rPr>
        <w:t>The Fiscal Policy Strategy Statement</w:t>
      </w:r>
      <w:r w:rsidRPr="00DB772D">
        <w:rPr>
          <w:rFonts w:ascii="Times New Roman" w:eastAsia="Times New Roman" w:hAnsi="Times New Roman"/>
          <w:sz w:val="24"/>
          <w:szCs w:val="24"/>
        </w:rPr>
        <w:t xml:space="preserve">: </w:t>
      </w:r>
    </w:p>
    <w:p w:rsidR="00DB772D" w:rsidRPr="00DB772D" w:rsidRDefault="00DB772D" w:rsidP="00DB772D">
      <w:pPr>
        <w:numPr>
          <w:ilvl w:val="0"/>
          <w:numId w:val="6"/>
        </w:numPr>
        <w:spacing w:after="0" w:line="360" w:lineRule="auto"/>
        <w:contextualSpacing/>
        <w:jc w:val="both"/>
        <w:rPr>
          <w:rFonts w:ascii="Times New Roman" w:eastAsia="Times New Roman" w:hAnsi="Times New Roman"/>
          <w:sz w:val="24"/>
          <w:szCs w:val="24"/>
        </w:rPr>
      </w:pPr>
      <w:r w:rsidRPr="00DB772D">
        <w:rPr>
          <w:rFonts w:ascii="Times New Roman" w:eastAsia="Times New Roman" w:hAnsi="Times New Roman"/>
          <w:sz w:val="24"/>
          <w:szCs w:val="24"/>
        </w:rPr>
        <w:t>The fiscal policy strategy statement contains the fiscal stance of the state government with respect to fiscal targets for the ensuing year, revenue generation efforts, expenditure plan and co</w:t>
      </w:r>
      <w:r w:rsidR="00C70046">
        <w:rPr>
          <w:rFonts w:ascii="Times New Roman" w:eastAsia="Times New Roman" w:hAnsi="Times New Roman"/>
          <w:sz w:val="24"/>
          <w:szCs w:val="24"/>
        </w:rPr>
        <w:t>nsequent borrowing requirements;</w:t>
      </w:r>
    </w:p>
    <w:p w:rsidR="00DB772D" w:rsidRPr="00DB772D" w:rsidRDefault="00DB772D" w:rsidP="00DB772D">
      <w:pPr>
        <w:numPr>
          <w:ilvl w:val="0"/>
          <w:numId w:val="6"/>
        </w:numPr>
        <w:spacing w:after="0" w:line="360" w:lineRule="auto"/>
        <w:contextualSpacing/>
        <w:jc w:val="both"/>
        <w:rPr>
          <w:rFonts w:ascii="Times New Roman" w:eastAsia="Times New Roman" w:hAnsi="Times New Roman"/>
          <w:sz w:val="24"/>
          <w:szCs w:val="24"/>
        </w:rPr>
      </w:pPr>
      <w:r w:rsidRPr="00DB772D">
        <w:rPr>
          <w:rFonts w:ascii="Times New Roman" w:eastAsia="Times New Roman" w:hAnsi="Times New Roman"/>
          <w:sz w:val="24"/>
          <w:szCs w:val="24"/>
        </w:rPr>
        <w:t>The strategic priorities of the government;</w:t>
      </w:r>
    </w:p>
    <w:p w:rsidR="00DB772D" w:rsidRPr="00DB772D" w:rsidRDefault="00DB772D" w:rsidP="00DB772D">
      <w:pPr>
        <w:numPr>
          <w:ilvl w:val="0"/>
          <w:numId w:val="6"/>
        </w:numPr>
        <w:spacing w:after="0" w:line="360" w:lineRule="auto"/>
        <w:contextualSpacing/>
        <w:jc w:val="both"/>
        <w:rPr>
          <w:rFonts w:ascii="Times New Roman" w:eastAsia="Times New Roman" w:hAnsi="Times New Roman"/>
          <w:sz w:val="24"/>
          <w:szCs w:val="24"/>
        </w:rPr>
      </w:pPr>
      <w:r w:rsidRPr="00DB772D">
        <w:rPr>
          <w:rFonts w:ascii="Times New Roman" w:eastAsia="Times New Roman" w:hAnsi="Times New Roman"/>
          <w:sz w:val="24"/>
          <w:szCs w:val="24"/>
        </w:rPr>
        <w:t>The reasons for any major deviation in fiscal measures pertaining to taxation, subsidy, expenditure, administered pricing and borrowings;</w:t>
      </w:r>
      <w:r w:rsidRPr="00DB772D">
        <w:rPr>
          <w:rFonts w:ascii="Times New Roman" w:eastAsia="Times New Roman" w:hAnsi="Times New Roman"/>
          <w:sz w:val="24"/>
          <w:szCs w:val="24"/>
        </w:rPr>
        <w:tab/>
      </w:r>
    </w:p>
    <w:p w:rsidR="00DB772D" w:rsidRDefault="00DB772D" w:rsidP="00DB772D">
      <w:pPr>
        <w:numPr>
          <w:ilvl w:val="0"/>
          <w:numId w:val="6"/>
        </w:numPr>
        <w:spacing w:after="0" w:line="360" w:lineRule="auto"/>
        <w:contextualSpacing/>
        <w:jc w:val="both"/>
        <w:rPr>
          <w:rFonts w:ascii="Times New Roman" w:eastAsia="Times New Roman" w:hAnsi="Times New Roman"/>
          <w:sz w:val="24"/>
          <w:szCs w:val="24"/>
        </w:rPr>
      </w:pPr>
      <w:r w:rsidRPr="00DB772D">
        <w:rPr>
          <w:rFonts w:ascii="Times New Roman" w:eastAsia="Times New Roman" w:hAnsi="Times New Roman"/>
          <w:sz w:val="24"/>
          <w:szCs w:val="24"/>
        </w:rPr>
        <w:t xml:space="preserve">An evaluation of the current policies of the Government based on fiscal objectives and fiscal principles enunciated in the Act. </w:t>
      </w:r>
    </w:p>
    <w:p w:rsidR="00CD1748" w:rsidRDefault="00CD1748" w:rsidP="00CD1748">
      <w:pPr>
        <w:spacing w:after="0" w:line="360" w:lineRule="auto"/>
        <w:ind w:left="720"/>
        <w:contextualSpacing/>
        <w:jc w:val="both"/>
        <w:rPr>
          <w:rFonts w:ascii="Times New Roman" w:eastAsia="Times New Roman" w:hAnsi="Times New Roman"/>
          <w:sz w:val="24"/>
          <w:szCs w:val="24"/>
        </w:rPr>
      </w:pPr>
    </w:p>
    <w:p w:rsidR="00CD1748" w:rsidRDefault="00CD1748" w:rsidP="00CD1748">
      <w:pPr>
        <w:spacing w:after="0" w:line="360" w:lineRule="auto"/>
        <w:ind w:left="720"/>
        <w:contextualSpacing/>
        <w:jc w:val="both"/>
        <w:rPr>
          <w:rFonts w:ascii="Times New Roman" w:eastAsia="Times New Roman" w:hAnsi="Times New Roman"/>
          <w:sz w:val="24"/>
          <w:szCs w:val="24"/>
        </w:rPr>
      </w:pPr>
    </w:p>
    <w:p w:rsidR="00DB772D" w:rsidRPr="00C713BA" w:rsidRDefault="00DB772D" w:rsidP="00302910">
      <w:pPr>
        <w:numPr>
          <w:ilvl w:val="0"/>
          <w:numId w:val="8"/>
        </w:numPr>
        <w:spacing w:after="0" w:line="360" w:lineRule="auto"/>
        <w:contextualSpacing/>
        <w:jc w:val="both"/>
        <w:rPr>
          <w:rFonts w:ascii="Times New Roman" w:eastAsia="Times New Roman" w:hAnsi="Times New Roman"/>
          <w:sz w:val="24"/>
          <w:szCs w:val="24"/>
        </w:rPr>
      </w:pPr>
      <w:r w:rsidRPr="00C713BA">
        <w:rPr>
          <w:rFonts w:ascii="Times New Roman" w:eastAsia="Times New Roman" w:hAnsi="Times New Roman"/>
          <w:b/>
          <w:sz w:val="24"/>
          <w:szCs w:val="24"/>
        </w:rPr>
        <w:lastRenderedPageBreak/>
        <w:t>Disclosures:</w:t>
      </w:r>
      <w:r w:rsidR="00C713BA">
        <w:rPr>
          <w:rFonts w:ascii="Times New Roman" w:eastAsia="Times New Roman" w:hAnsi="Times New Roman"/>
          <w:b/>
          <w:sz w:val="24"/>
          <w:szCs w:val="24"/>
        </w:rPr>
        <w:t xml:space="preserve"> </w:t>
      </w:r>
      <w:r w:rsidRPr="00C713BA">
        <w:rPr>
          <w:rFonts w:ascii="Times New Roman" w:eastAsia="Times New Roman" w:hAnsi="Times New Roman"/>
          <w:sz w:val="24"/>
          <w:szCs w:val="24"/>
        </w:rPr>
        <w:t xml:space="preserve">The FRBM Act stipulates the governments to provide data and information on fiscal variables and outcomes of fiscal transactions. These are called disclosure statements and rules to the Act specifies the format in which this information </w:t>
      </w:r>
      <w:r w:rsidR="008F5422" w:rsidRPr="00C713BA">
        <w:rPr>
          <w:rFonts w:ascii="Times New Roman" w:eastAsia="Times New Roman" w:hAnsi="Times New Roman"/>
          <w:sz w:val="24"/>
          <w:szCs w:val="24"/>
        </w:rPr>
        <w:t>is to</w:t>
      </w:r>
      <w:r w:rsidRPr="00C713BA">
        <w:rPr>
          <w:rFonts w:ascii="Times New Roman" w:eastAsia="Times New Roman" w:hAnsi="Times New Roman"/>
          <w:sz w:val="24"/>
          <w:szCs w:val="24"/>
        </w:rPr>
        <w:t xml:space="preserve"> be given. The wide range </w:t>
      </w:r>
      <w:r w:rsidR="008F5422" w:rsidRPr="00C713BA">
        <w:rPr>
          <w:rFonts w:ascii="Times New Roman" w:eastAsia="Times New Roman" w:hAnsi="Times New Roman"/>
          <w:sz w:val="24"/>
          <w:szCs w:val="24"/>
        </w:rPr>
        <w:t xml:space="preserve">of </w:t>
      </w:r>
      <w:r w:rsidRPr="00C713BA">
        <w:rPr>
          <w:rFonts w:ascii="Times New Roman" w:eastAsia="Times New Roman" w:hAnsi="Times New Roman"/>
          <w:sz w:val="24"/>
          <w:szCs w:val="24"/>
        </w:rPr>
        <w:t>data and information given in FRBM document is expected to enhance transparency in the system and help the policy makers to take informed decisions.</w:t>
      </w:r>
    </w:p>
    <w:p w:rsidR="008F5422" w:rsidRPr="00C713BA" w:rsidRDefault="008F5422" w:rsidP="00683A6F">
      <w:pPr>
        <w:pStyle w:val="ListParagraph"/>
        <w:numPr>
          <w:ilvl w:val="0"/>
          <w:numId w:val="8"/>
        </w:numPr>
        <w:spacing w:after="0" w:line="360" w:lineRule="auto"/>
        <w:jc w:val="both"/>
        <w:rPr>
          <w:rFonts w:ascii="Times New Roman" w:hAnsi="Times New Roman"/>
          <w:sz w:val="24"/>
          <w:szCs w:val="24"/>
        </w:rPr>
      </w:pPr>
      <w:r w:rsidRPr="00C713BA">
        <w:rPr>
          <w:rFonts w:ascii="Times New Roman" w:hAnsi="Times New Roman"/>
          <w:b/>
          <w:sz w:val="24"/>
          <w:szCs w:val="24"/>
        </w:rPr>
        <w:t>Half-yearly Progress Report</w:t>
      </w:r>
      <w:r w:rsidR="00C713BA" w:rsidRPr="00C713BA">
        <w:rPr>
          <w:rFonts w:ascii="Times New Roman" w:hAnsi="Times New Roman"/>
          <w:b/>
          <w:sz w:val="24"/>
          <w:szCs w:val="24"/>
        </w:rPr>
        <w:t>:</w:t>
      </w:r>
      <w:r w:rsidR="00C713BA">
        <w:rPr>
          <w:rFonts w:ascii="Times New Roman" w:hAnsi="Times New Roman"/>
          <w:b/>
          <w:sz w:val="24"/>
          <w:szCs w:val="24"/>
        </w:rPr>
        <w:t xml:space="preserve"> </w:t>
      </w:r>
      <w:r w:rsidRPr="00C713BA">
        <w:rPr>
          <w:rFonts w:ascii="Times New Roman" w:hAnsi="Times New Roman"/>
          <w:sz w:val="24"/>
          <w:szCs w:val="24"/>
        </w:rPr>
        <w:t>Minister</w:t>
      </w:r>
      <w:r w:rsidR="00C70046" w:rsidRPr="00C713BA">
        <w:rPr>
          <w:rFonts w:ascii="Times New Roman" w:hAnsi="Times New Roman"/>
          <w:sz w:val="24"/>
          <w:szCs w:val="24"/>
        </w:rPr>
        <w:t>-</w:t>
      </w:r>
      <w:r w:rsidRPr="00C713BA">
        <w:rPr>
          <w:rFonts w:ascii="Times New Roman" w:hAnsi="Times New Roman"/>
          <w:sz w:val="24"/>
          <w:szCs w:val="24"/>
        </w:rPr>
        <w:t>in</w:t>
      </w:r>
      <w:r w:rsidR="00C70046" w:rsidRPr="00C713BA">
        <w:rPr>
          <w:rFonts w:ascii="Times New Roman" w:hAnsi="Times New Roman"/>
          <w:sz w:val="24"/>
          <w:szCs w:val="24"/>
        </w:rPr>
        <w:t>-charge of F</w:t>
      </w:r>
      <w:r w:rsidRPr="00C713BA">
        <w:rPr>
          <w:rFonts w:ascii="Times New Roman" w:hAnsi="Times New Roman"/>
          <w:sz w:val="24"/>
          <w:szCs w:val="24"/>
        </w:rPr>
        <w:t>inance is supposed to present a hal</w:t>
      </w:r>
      <w:r w:rsidR="00C70046" w:rsidRPr="00C713BA">
        <w:rPr>
          <w:rFonts w:ascii="Times New Roman" w:hAnsi="Times New Roman"/>
          <w:sz w:val="24"/>
          <w:szCs w:val="24"/>
        </w:rPr>
        <w:t>f-yearly progress report on ach</w:t>
      </w:r>
      <w:r w:rsidRPr="00C713BA">
        <w:rPr>
          <w:rFonts w:ascii="Times New Roman" w:hAnsi="Times New Roman"/>
          <w:sz w:val="24"/>
          <w:szCs w:val="24"/>
        </w:rPr>
        <w:t>ievement of FRBM Act provisions. If there is any shortfall in revenue or excess of expenditure over the half-year targets mentioned in the Fiscal Policy Strategy Statement, the minister is supposed to provide the account of corrective measures taken by the government.</w:t>
      </w:r>
    </w:p>
    <w:p w:rsidR="00A456B7" w:rsidRDefault="00A456B7" w:rsidP="00243A31">
      <w:pPr>
        <w:spacing w:after="0" w:line="360" w:lineRule="auto"/>
        <w:jc w:val="both"/>
        <w:rPr>
          <w:rFonts w:ascii="Times New Roman" w:hAnsi="Times New Roman"/>
          <w:sz w:val="24"/>
          <w:szCs w:val="24"/>
        </w:rPr>
      </w:pPr>
    </w:p>
    <w:p w:rsidR="0080283C" w:rsidRDefault="00664E91" w:rsidP="00664E91">
      <w:pPr>
        <w:spacing w:after="0" w:line="360" w:lineRule="auto"/>
        <w:jc w:val="both"/>
        <w:rPr>
          <w:rFonts w:ascii="Times New Roman" w:hAnsi="Times New Roman"/>
          <w:sz w:val="24"/>
          <w:szCs w:val="24"/>
        </w:rPr>
      </w:pPr>
      <w:r w:rsidRPr="001204FE">
        <w:rPr>
          <w:rFonts w:ascii="Times New Roman" w:hAnsi="Times New Roman"/>
          <w:sz w:val="24"/>
          <w:szCs w:val="24"/>
        </w:rPr>
        <w:t>The MTFP provide</w:t>
      </w:r>
      <w:r>
        <w:rPr>
          <w:rFonts w:ascii="Times New Roman" w:hAnsi="Times New Roman"/>
          <w:sz w:val="24"/>
          <w:szCs w:val="24"/>
        </w:rPr>
        <w:t>s</w:t>
      </w:r>
      <w:r w:rsidR="00C70046">
        <w:rPr>
          <w:rFonts w:ascii="Times New Roman" w:hAnsi="Times New Roman"/>
          <w:sz w:val="24"/>
          <w:szCs w:val="24"/>
        </w:rPr>
        <w:t xml:space="preserve"> the fiscal plan of the g</w:t>
      </w:r>
      <w:r w:rsidRPr="001204FE">
        <w:rPr>
          <w:rFonts w:ascii="Times New Roman" w:hAnsi="Times New Roman"/>
          <w:sz w:val="24"/>
          <w:szCs w:val="24"/>
        </w:rPr>
        <w:t xml:space="preserve">overnment </w:t>
      </w:r>
      <w:r>
        <w:rPr>
          <w:rFonts w:ascii="Times New Roman" w:hAnsi="Times New Roman"/>
          <w:sz w:val="24"/>
          <w:szCs w:val="24"/>
        </w:rPr>
        <w:t xml:space="preserve">for the budget year and two outward years delineating </w:t>
      </w:r>
      <w:r w:rsidRPr="001204FE">
        <w:rPr>
          <w:rFonts w:ascii="Times New Roman" w:hAnsi="Times New Roman"/>
          <w:sz w:val="24"/>
          <w:szCs w:val="24"/>
        </w:rPr>
        <w:t>revenues</w:t>
      </w:r>
      <w:r>
        <w:rPr>
          <w:rFonts w:ascii="Times New Roman" w:hAnsi="Times New Roman"/>
          <w:sz w:val="24"/>
          <w:szCs w:val="24"/>
        </w:rPr>
        <w:t xml:space="preserve"> raising efforts</w:t>
      </w:r>
      <w:r w:rsidRPr="001204FE">
        <w:rPr>
          <w:rFonts w:ascii="Times New Roman" w:hAnsi="Times New Roman"/>
          <w:sz w:val="24"/>
          <w:szCs w:val="24"/>
        </w:rPr>
        <w:t xml:space="preserve">, resource allocation priorities, and borrowing plan in a transparent way. The Government of Sikkim presented the MTFP </w:t>
      </w:r>
      <w:r w:rsidRPr="00664E91">
        <w:rPr>
          <w:rFonts w:ascii="Times New Roman" w:hAnsi="Times New Roman"/>
          <w:sz w:val="24"/>
          <w:szCs w:val="24"/>
        </w:rPr>
        <w:t>for the year 201</w:t>
      </w:r>
      <w:r w:rsidR="00793B8E">
        <w:rPr>
          <w:rFonts w:ascii="Times New Roman" w:hAnsi="Times New Roman"/>
          <w:sz w:val="24"/>
          <w:szCs w:val="24"/>
        </w:rPr>
        <w:t>9-20</w:t>
      </w:r>
      <w:r w:rsidRPr="00664E91">
        <w:rPr>
          <w:rFonts w:ascii="Times New Roman" w:hAnsi="Times New Roman"/>
          <w:sz w:val="24"/>
          <w:szCs w:val="24"/>
        </w:rPr>
        <w:t xml:space="preserve"> </w:t>
      </w:r>
      <w:r w:rsidRPr="001204FE">
        <w:rPr>
          <w:rFonts w:ascii="Times New Roman" w:hAnsi="Times New Roman"/>
          <w:sz w:val="24"/>
          <w:szCs w:val="24"/>
        </w:rPr>
        <w:t>based on the FRBM rule format that contains macroeconomic statement, projections of fiscal targets and fiscal management principles with regard to revenues and expenditures</w:t>
      </w:r>
      <w:r>
        <w:rPr>
          <w:rFonts w:ascii="Times New Roman" w:hAnsi="Times New Roman"/>
          <w:sz w:val="24"/>
          <w:szCs w:val="24"/>
        </w:rPr>
        <w:t xml:space="preserve">. </w:t>
      </w:r>
      <w:r w:rsidRPr="001204FE">
        <w:rPr>
          <w:rFonts w:ascii="Times New Roman" w:hAnsi="Times New Roman"/>
          <w:sz w:val="24"/>
          <w:szCs w:val="24"/>
        </w:rPr>
        <w:t xml:space="preserve">This statement contains three-year rolling targets for revenue deficit, fiscal deficit, and the debt-GSDP ratio – for the ensuing year, and for two subsequent years synchronizing with the Act provisions. It also contains medium-term fiscal objectives, perspective on the growth of </w:t>
      </w:r>
      <w:r>
        <w:rPr>
          <w:rFonts w:ascii="Times New Roman" w:hAnsi="Times New Roman"/>
          <w:sz w:val="24"/>
          <w:szCs w:val="24"/>
        </w:rPr>
        <w:t>s</w:t>
      </w:r>
      <w:r w:rsidRPr="001204FE">
        <w:rPr>
          <w:rFonts w:ascii="Times New Roman" w:hAnsi="Times New Roman"/>
          <w:sz w:val="24"/>
          <w:szCs w:val="24"/>
        </w:rPr>
        <w:t>tate economy, strategic priorities for revenues and expenditures, and conformit</w:t>
      </w:r>
      <w:r w:rsidR="00C70046">
        <w:rPr>
          <w:rFonts w:ascii="Times New Roman" w:hAnsi="Times New Roman"/>
          <w:sz w:val="24"/>
          <w:szCs w:val="24"/>
        </w:rPr>
        <w:t>y of the fiscal outlook of the g</w:t>
      </w:r>
      <w:r w:rsidRPr="001204FE">
        <w:rPr>
          <w:rFonts w:ascii="Times New Roman" w:hAnsi="Times New Roman"/>
          <w:sz w:val="24"/>
          <w:szCs w:val="24"/>
        </w:rPr>
        <w:t>overnment with the fiscal principles enshrined in the Act. The first year of the MTFP projections is the budget estimates for the year 201</w:t>
      </w:r>
      <w:r w:rsidR="00484FC5">
        <w:rPr>
          <w:rFonts w:ascii="Times New Roman" w:hAnsi="Times New Roman"/>
          <w:sz w:val="24"/>
          <w:szCs w:val="24"/>
        </w:rPr>
        <w:t>9</w:t>
      </w:r>
      <w:r w:rsidRPr="001204FE">
        <w:rPr>
          <w:rFonts w:ascii="Times New Roman" w:hAnsi="Times New Roman"/>
          <w:sz w:val="24"/>
          <w:szCs w:val="24"/>
        </w:rPr>
        <w:t>-</w:t>
      </w:r>
      <w:r w:rsidR="00484FC5">
        <w:rPr>
          <w:rFonts w:ascii="Times New Roman" w:hAnsi="Times New Roman"/>
          <w:sz w:val="24"/>
          <w:szCs w:val="24"/>
        </w:rPr>
        <w:t>20</w:t>
      </w:r>
      <w:r w:rsidRPr="001204FE">
        <w:rPr>
          <w:rFonts w:ascii="Times New Roman" w:hAnsi="Times New Roman"/>
          <w:sz w:val="24"/>
          <w:szCs w:val="24"/>
        </w:rPr>
        <w:t>.</w:t>
      </w:r>
      <w:r w:rsidR="0080283C">
        <w:rPr>
          <w:rFonts w:ascii="Times New Roman" w:hAnsi="Times New Roman"/>
          <w:sz w:val="24"/>
          <w:szCs w:val="24"/>
        </w:rPr>
        <w:t xml:space="preserve"> The MTFP taking into account existing programs and</w:t>
      </w:r>
      <w:r w:rsidR="00C70046">
        <w:rPr>
          <w:rFonts w:ascii="Times New Roman" w:hAnsi="Times New Roman"/>
          <w:sz w:val="24"/>
          <w:szCs w:val="24"/>
        </w:rPr>
        <w:t xml:space="preserve"> new programs announced by the g</w:t>
      </w:r>
      <w:r w:rsidR="0080283C">
        <w:rPr>
          <w:rFonts w:ascii="Times New Roman" w:hAnsi="Times New Roman"/>
          <w:sz w:val="24"/>
          <w:szCs w:val="24"/>
        </w:rPr>
        <w:t xml:space="preserve">overnment in its spending projection. </w:t>
      </w:r>
    </w:p>
    <w:p w:rsidR="0080283C" w:rsidRDefault="0080283C" w:rsidP="00664E91">
      <w:pPr>
        <w:spacing w:after="0" w:line="360" w:lineRule="auto"/>
        <w:jc w:val="both"/>
        <w:rPr>
          <w:rFonts w:ascii="Times New Roman" w:hAnsi="Times New Roman"/>
          <w:sz w:val="24"/>
          <w:szCs w:val="24"/>
        </w:rPr>
      </w:pPr>
    </w:p>
    <w:p w:rsidR="00243A31" w:rsidRDefault="0080283C" w:rsidP="00243A31">
      <w:pPr>
        <w:spacing w:after="0" w:line="360" w:lineRule="auto"/>
        <w:jc w:val="both"/>
        <w:rPr>
          <w:rFonts w:ascii="Times New Roman" w:hAnsi="Times New Roman"/>
          <w:sz w:val="24"/>
          <w:szCs w:val="24"/>
        </w:rPr>
      </w:pPr>
      <w:r>
        <w:rPr>
          <w:rFonts w:ascii="Times New Roman" w:hAnsi="Times New Roman"/>
          <w:sz w:val="24"/>
          <w:szCs w:val="24"/>
        </w:rPr>
        <w:t xml:space="preserve">While MTFP is presented along with budget, the </w:t>
      </w:r>
      <w:r w:rsidRPr="001204FE">
        <w:rPr>
          <w:rFonts w:ascii="Times New Roman" w:hAnsi="Times New Roman"/>
          <w:sz w:val="24"/>
          <w:szCs w:val="24"/>
        </w:rPr>
        <w:t xml:space="preserve">Act mandates </w:t>
      </w:r>
      <w:r>
        <w:rPr>
          <w:rFonts w:ascii="Times New Roman" w:hAnsi="Times New Roman"/>
          <w:sz w:val="24"/>
          <w:szCs w:val="24"/>
        </w:rPr>
        <w:t xml:space="preserve">the </w:t>
      </w:r>
      <w:r w:rsidR="00DB772D">
        <w:rPr>
          <w:rFonts w:ascii="Times New Roman" w:hAnsi="Times New Roman"/>
          <w:sz w:val="24"/>
          <w:szCs w:val="24"/>
        </w:rPr>
        <w:t>s</w:t>
      </w:r>
      <w:r w:rsidRPr="001204FE">
        <w:rPr>
          <w:rFonts w:ascii="Times New Roman" w:hAnsi="Times New Roman"/>
          <w:sz w:val="24"/>
          <w:szCs w:val="24"/>
        </w:rPr>
        <w:t xml:space="preserve">tate </w:t>
      </w:r>
      <w:r w:rsidR="00DB772D">
        <w:rPr>
          <w:rFonts w:ascii="Times New Roman" w:hAnsi="Times New Roman"/>
          <w:sz w:val="24"/>
          <w:szCs w:val="24"/>
        </w:rPr>
        <w:t>g</w:t>
      </w:r>
      <w:r w:rsidRPr="001204FE">
        <w:rPr>
          <w:rFonts w:ascii="Times New Roman" w:hAnsi="Times New Roman"/>
          <w:sz w:val="24"/>
          <w:szCs w:val="24"/>
        </w:rPr>
        <w:t>overnment to present a half-yearly report card on progress to achieve the FRBM targets as part of enforcement mechanism</w:t>
      </w:r>
      <w:r>
        <w:rPr>
          <w:rFonts w:ascii="Times New Roman" w:hAnsi="Times New Roman"/>
          <w:sz w:val="24"/>
          <w:szCs w:val="24"/>
        </w:rPr>
        <w:t>.</w:t>
      </w:r>
      <w:r w:rsidR="00243A31" w:rsidRPr="001204FE">
        <w:rPr>
          <w:rFonts w:ascii="Times New Roman" w:hAnsi="Times New Roman"/>
          <w:sz w:val="24"/>
          <w:szCs w:val="24"/>
        </w:rPr>
        <w:t xml:space="preserve"> The rules to the FRBM Act details the fiscal transparency measures, which are disclosures on fiscal operations and data and information to be given along with the budget to ensure greater transparency. Fiscal management principles enshrined in the FRBM Act are guiding principles to conduct the fiscal policy in the State to facilitate achievement of the required fiscal targets.  </w:t>
      </w:r>
    </w:p>
    <w:p w:rsidR="00C70046" w:rsidRDefault="00C70046" w:rsidP="00243A31">
      <w:pPr>
        <w:spacing w:after="0" w:line="360" w:lineRule="auto"/>
        <w:jc w:val="both"/>
        <w:rPr>
          <w:rFonts w:ascii="Times New Roman" w:hAnsi="Times New Roman"/>
          <w:sz w:val="24"/>
          <w:szCs w:val="24"/>
        </w:rPr>
      </w:pPr>
    </w:p>
    <w:p w:rsidR="00243A31" w:rsidRPr="00C713BA" w:rsidRDefault="009C2548" w:rsidP="005922D5">
      <w:pPr>
        <w:pStyle w:val="ListParagraph"/>
        <w:keepNext/>
        <w:numPr>
          <w:ilvl w:val="0"/>
          <w:numId w:val="8"/>
        </w:numPr>
        <w:spacing w:after="0" w:line="360" w:lineRule="auto"/>
        <w:ind w:left="357" w:hanging="357"/>
        <w:jc w:val="both"/>
        <w:rPr>
          <w:rFonts w:ascii="Times New Roman" w:eastAsia="Times New Roman" w:hAnsi="Times New Roman"/>
          <w:sz w:val="24"/>
          <w:szCs w:val="24"/>
        </w:rPr>
      </w:pPr>
      <w:r w:rsidRPr="00C713BA">
        <w:rPr>
          <w:rFonts w:ascii="Times New Roman" w:hAnsi="Times New Roman"/>
          <w:b/>
          <w:sz w:val="24"/>
          <w:szCs w:val="24"/>
        </w:rPr>
        <w:lastRenderedPageBreak/>
        <w:t>Fiscal Targets</w:t>
      </w:r>
      <w:r w:rsidR="00C713BA" w:rsidRPr="00C713BA">
        <w:rPr>
          <w:rFonts w:ascii="Times New Roman" w:hAnsi="Times New Roman"/>
          <w:b/>
          <w:sz w:val="24"/>
          <w:szCs w:val="24"/>
        </w:rPr>
        <w:t>:</w:t>
      </w:r>
      <w:r w:rsidR="00C713BA">
        <w:rPr>
          <w:rFonts w:ascii="Times New Roman" w:hAnsi="Times New Roman"/>
          <w:b/>
          <w:sz w:val="24"/>
          <w:szCs w:val="24"/>
        </w:rPr>
        <w:t xml:space="preserve"> </w:t>
      </w:r>
      <w:r w:rsidR="00243A31" w:rsidRPr="00C713BA">
        <w:rPr>
          <w:rFonts w:ascii="Times New Roman" w:eastAsia="Times New Roman" w:hAnsi="Times New Roman"/>
          <w:sz w:val="24"/>
          <w:szCs w:val="24"/>
        </w:rPr>
        <w:t>The Government of Sikkim, as per the FRBM Act, is required to achieve the fol</w:t>
      </w:r>
      <w:r w:rsidR="00C70046" w:rsidRPr="00C713BA">
        <w:rPr>
          <w:rFonts w:ascii="Times New Roman" w:eastAsia="Times New Roman" w:hAnsi="Times New Roman"/>
          <w:sz w:val="24"/>
          <w:szCs w:val="24"/>
        </w:rPr>
        <w:t>lowing mandatory fiscal targets:</w:t>
      </w:r>
    </w:p>
    <w:p w:rsidR="00243A31" w:rsidRPr="001204FE" w:rsidRDefault="00243A31" w:rsidP="00243A31">
      <w:pPr>
        <w:pStyle w:val="ListParagraph"/>
        <w:numPr>
          <w:ilvl w:val="0"/>
          <w:numId w:val="3"/>
        </w:numPr>
        <w:spacing w:after="0" w:line="360" w:lineRule="auto"/>
        <w:jc w:val="both"/>
        <w:rPr>
          <w:rFonts w:ascii="Times New Roman" w:eastAsia="Times New Roman" w:hAnsi="Times New Roman"/>
          <w:sz w:val="24"/>
          <w:szCs w:val="24"/>
        </w:rPr>
      </w:pPr>
      <w:r w:rsidRPr="001204FE">
        <w:rPr>
          <w:rFonts w:ascii="Times New Roman" w:eastAsia="Times New Roman" w:hAnsi="Times New Roman"/>
          <w:sz w:val="24"/>
          <w:szCs w:val="24"/>
        </w:rPr>
        <w:t>Maintain revenue account balance beginning from the year 2011-12</w:t>
      </w:r>
      <w:r w:rsidR="00C70046">
        <w:rPr>
          <w:rFonts w:ascii="Times New Roman" w:eastAsia="Times New Roman" w:hAnsi="Times New Roman"/>
          <w:sz w:val="24"/>
          <w:szCs w:val="24"/>
        </w:rPr>
        <w:t>.</w:t>
      </w:r>
    </w:p>
    <w:p w:rsidR="00243A31" w:rsidRPr="001204FE" w:rsidRDefault="00243A31" w:rsidP="009C4C23">
      <w:pPr>
        <w:pStyle w:val="ListParagraph"/>
        <w:numPr>
          <w:ilvl w:val="0"/>
          <w:numId w:val="3"/>
        </w:numPr>
        <w:spacing w:after="0" w:line="360" w:lineRule="auto"/>
        <w:jc w:val="both"/>
        <w:rPr>
          <w:rFonts w:ascii="Times New Roman" w:eastAsia="Times New Roman" w:hAnsi="Times New Roman"/>
          <w:sz w:val="24"/>
          <w:szCs w:val="24"/>
        </w:rPr>
      </w:pPr>
      <w:r w:rsidRPr="001204FE">
        <w:rPr>
          <w:rFonts w:ascii="Times New Roman" w:eastAsia="Times New Roman" w:hAnsi="Times New Roman"/>
          <w:sz w:val="24"/>
          <w:szCs w:val="24"/>
        </w:rPr>
        <w:t>Reduce the fiscal deficit t</w:t>
      </w:r>
      <w:r w:rsidR="00C70046">
        <w:rPr>
          <w:rFonts w:ascii="Times New Roman" w:eastAsia="Times New Roman" w:hAnsi="Times New Roman"/>
          <w:sz w:val="24"/>
          <w:szCs w:val="24"/>
        </w:rPr>
        <w:t>o 3.5 percent of the estimated g</w:t>
      </w:r>
      <w:r w:rsidRPr="001204FE">
        <w:rPr>
          <w:rFonts w:ascii="Times New Roman" w:eastAsia="Times New Roman" w:hAnsi="Times New Roman"/>
          <w:sz w:val="24"/>
          <w:szCs w:val="24"/>
        </w:rPr>
        <w:t xml:space="preserve">ross </w:t>
      </w:r>
      <w:r w:rsidR="00C70046">
        <w:rPr>
          <w:rFonts w:ascii="Times New Roman" w:eastAsia="Times New Roman" w:hAnsi="Times New Roman"/>
          <w:sz w:val="24"/>
          <w:szCs w:val="24"/>
        </w:rPr>
        <w:t>s</w:t>
      </w:r>
      <w:r w:rsidRPr="001204FE">
        <w:rPr>
          <w:rFonts w:ascii="Times New Roman" w:eastAsia="Times New Roman" w:hAnsi="Times New Roman"/>
          <w:sz w:val="24"/>
          <w:szCs w:val="24"/>
        </w:rPr>
        <w:t xml:space="preserve">tate </w:t>
      </w:r>
      <w:r w:rsidR="00C70046">
        <w:rPr>
          <w:rFonts w:ascii="Times New Roman" w:eastAsia="Times New Roman" w:hAnsi="Times New Roman"/>
          <w:sz w:val="24"/>
          <w:szCs w:val="24"/>
        </w:rPr>
        <w:t>d</w:t>
      </w:r>
      <w:r w:rsidRPr="001204FE">
        <w:rPr>
          <w:rFonts w:ascii="Times New Roman" w:eastAsia="Times New Roman" w:hAnsi="Times New Roman"/>
          <w:sz w:val="24"/>
          <w:szCs w:val="24"/>
        </w:rPr>
        <w:t xml:space="preserve">omestic </w:t>
      </w:r>
      <w:r w:rsidR="00C70046">
        <w:rPr>
          <w:rFonts w:ascii="Times New Roman" w:eastAsia="Times New Roman" w:hAnsi="Times New Roman"/>
          <w:sz w:val="24"/>
          <w:szCs w:val="24"/>
        </w:rPr>
        <w:t>p</w:t>
      </w:r>
      <w:r w:rsidRPr="001204FE">
        <w:rPr>
          <w:rFonts w:ascii="Times New Roman" w:eastAsia="Times New Roman" w:hAnsi="Times New Roman"/>
          <w:sz w:val="24"/>
          <w:szCs w:val="24"/>
        </w:rPr>
        <w:t xml:space="preserve">roduct in each of the financial year starting from 2011-12 and reduce the fiscal deficit to not more than </w:t>
      </w:r>
      <w:r w:rsidR="00C70046">
        <w:rPr>
          <w:rFonts w:ascii="Times New Roman" w:eastAsia="Times New Roman" w:hAnsi="Times New Roman"/>
          <w:sz w:val="24"/>
          <w:szCs w:val="24"/>
        </w:rPr>
        <w:t>3</w:t>
      </w:r>
      <w:r w:rsidRPr="001204FE">
        <w:rPr>
          <w:rFonts w:ascii="Times New Roman" w:eastAsia="Times New Roman" w:hAnsi="Times New Roman"/>
          <w:sz w:val="24"/>
          <w:szCs w:val="24"/>
        </w:rPr>
        <w:t xml:space="preserve"> percent of the estimated </w:t>
      </w:r>
      <w:r w:rsidR="00C70046">
        <w:rPr>
          <w:rFonts w:ascii="Times New Roman" w:eastAsia="Times New Roman" w:hAnsi="Times New Roman"/>
          <w:sz w:val="24"/>
          <w:szCs w:val="24"/>
        </w:rPr>
        <w:t>g</w:t>
      </w:r>
      <w:r w:rsidR="00C70046" w:rsidRPr="001204FE">
        <w:rPr>
          <w:rFonts w:ascii="Times New Roman" w:eastAsia="Times New Roman" w:hAnsi="Times New Roman"/>
          <w:sz w:val="24"/>
          <w:szCs w:val="24"/>
        </w:rPr>
        <w:t xml:space="preserve">ross </w:t>
      </w:r>
      <w:r w:rsidR="00C70046">
        <w:rPr>
          <w:rFonts w:ascii="Times New Roman" w:eastAsia="Times New Roman" w:hAnsi="Times New Roman"/>
          <w:sz w:val="24"/>
          <w:szCs w:val="24"/>
        </w:rPr>
        <w:t>s</w:t>
      </w:r>
      <w:r w:rsidR="00C70046" w:rsidRPr="001204FE">
        <w:rPr>
          <w:rFonts w:ascii="Times New Roman" w:eastAsia="Times New Roman" w:hAnsi="Times New Roman"/>
          <w:sz w:val="24"/>
          <w:szCs w:val="24"/>
        </w:rPr>
        <w:t xml:space="preserve">tate </w:t>
      </w:r>
      <w:r w:rsidR="00C70046">
        <w:rPr>
          <w:rFonts w:ascii="Times New Roman" w:eastAsia="Times New Roman" w:hAnsi="Times New Roman"/>
          <w:sz w:val="24"/>
          <w:szCs w:val="24"/>
        </w:rPr>
        <w:t>d</w:t>
      </w:r>
      <w:r w:rsidR="00C70046" w:rsidRPr="001204FE">
        <w:rPr>
          <w:rFonts w:ascii="Times New Roman" w:eastAsia="Times New Roman" w:hAnsi="Times New Roman"/>
          <w:sz w:val="24"/>
          <w:szCs w:val="24"/>
        </w:rPr>
        <w:t xml:space="preserve">omestic </w:t>
      </w:r>
      <w:r w:rsidR="00C70046">
        <w:rPr>
          <w:rFonts w:ascii="Times New Roman" w:eastAsia="Times New Roman" w:hAnsi="Times New Roman"/>
          <w:sz w:val="24"/>
          <w:szCs w:val="24"/>
        </w:rPr>
        <w:t>p</w:t>
      </w:r>
      <w:r w:rsidR="00C70046" w:rsidRPr="001204FE">
        <w:rPr>
          <w:rFonts w:ascii="Times New Roman" w:eastAsia="Times New Roman" w:hAnsi="Times New Roman"/>
          <w:sz w:val="24"/>
          <w:szCs w:val="24"/>
        </w:rPr>
        <w:t xml:space="preserve">roduct </w:t>
      </w:r>
      <w:r w:rsidRPr="001204FE">
        <w:rPr>
          <w:rFonts w:ascii="Times New Roman" w:eastAsia="Times New Roman" w:hAnsi="Times New Roman"/>
          <w:sz w:val="24"/>
          <w:szCs w:val="24"/>
        </w:rPr>
        <w:t>at the end of 31</w:t>
      </w:r>
      <w:r w:rsidR="00C16B7D" w:rsidRPr="00C16B7D">
        <w:rPr>
          <w:rFonts w:ascii="Times New Roman" w:eastAsia="Times New Roman" w:hAnsi="Times New Roman"/>
          <w:sz w:val="24"/>
          <w:szCs w:val="24"/>
          <w:vertAlign w:val="superscript"/>
        </w:rPr>
        <w:t>st</w:t>
      </w:r>
      <w:r w:rsidR="00C16B7D">
        <w:rPr>
          <w:rFonts w:ascii="Times New Roman" w:eastAsia="Times New Roman" w:hAnsi="Times New Roman"/>
          <w:sz w:val="24"/>
          <w:szCs w:val="24"/>
        </w:rPr>
        <w:t xml:space="preserve"> </w:t>
      </w:r>
      <w:r w:rsidRPr="001204FE">
        <w:rPr>
          <w:rFonts w:ascii="Times New Roman" w:eastAsia="Times New Roman" w:hAnsi="Times New Roman"/>
          <w:sz w:val="24"/>
          <w:szCs w:val="24"/>
        </w:rPr>
        <w:t>March</w:t>
      </w:r>
      <w:r w:rsidR="00C70046">
        <w:rPr>
          <w:rFonts w:ascii="Times New Roman" w:eastAsia="Times New Roman" w:hAnsi="Times New Roman"/>
          <w:sz w:val="24"/>
          <w:szCs w:val="24"/>
        </w:rPr>
        <w:t>,</w:t>
      </w:r>
      <w:r w:rsidRPr="001204FE">
        <w:rPr>
          <w:rFonts w:ascii="Times New Roman" w:eastAsia="Times New Roman" w:hAnsi="Times New Roman"/>
          <w:sz w:val="24"/>
          <w:szCs w:val="24"/>
        </w:rPr>
        <w:t xml:space="preserve"> 2</w:t>
      </w:r>
      <w:r w:rsidR="009C4C23">
        <w:rPr>
          <w:rFonts w:ascii="Times New Roman" w:eastAsia="Times New Roman" w:hAnsi="Times New Roman"/>
          <w:sz w:val="24"/>
          <w:szCs w:val="24"/>
        </w:rPr>
        <w:t xml:space="preserve">014 and adhere to it thereafter. The FC-XIV provided flexibility to increase the fiscal deficit by </w:t>
      </w:r>
      <w:r w:rsidR="009C4C23" w:rsidRPr="009C4C23">
        <w:rPr>
          <w:rFonts w:ascii="Times New Roman" w:eastAsia="Times New Roman" w:hAnsi="Times New Roman"/>
          <w:sz w:val="24"/>
          <w:szCs w:val="24"/>
        </w:rPr>
        <w:t>0.5 percentage points, 0.25 percentage points separately, based on certain conditions relating to fiscal outcomes in the previous years.</w:t>
      </w:r>
    </w:p>
    <w:p w:rsidR="00243A31" w:rsidRPr="001204FE" w:rsidRDefault="00243A31" w:rsidP="00243A31">
      <w:pPr>
        <w:pStyle w:val="ListParagraph"/>
        <w:numPr>
          <w:ilvl w:val="0"/>
          <w:numId w:val="3"/>
        </w:numPr>
        <w:spacing w:after="0" w:line="360" w:lineRule="auto"/>
        <w:jc w:val="both"/>
        <w:rPr>
          <w:rFonts w:ascii="Times New Roman" w:eastAsia="Times New Roman" w:hAnsi="Times New Roman"/>
          <w:sz w:val="24"/>
          <w:szCs w:val="24"/>
        </w:rPr>
      </w:pPr>
      <w:r w:rsidRPr="001204FE">
        <w:rPr>
          <w:rFonts w:ascii="Times New Roman" w:eastAsia="Times New Roman" w:hAnsi="Times New Roman"/>
          <w:sz w:val="24"/>
          <w:szCs w:val="24"/>
        </w:rPr>
        <w:t>Cap the total outstanding guarantees within the specified limit under the Sikkim Ceiling on Government Gu</w:t>
      </w:r>
      <w:r w:rsidR="00723D39">
        <w:rPr>
          <w:rFonts w:ascii="Times New Roman" w:eastAsia="Times New Roman" w:hAnsi="Times New Roman"/>
          <w:sz w:val="24"/>
          <w:szCs w:val="24"/>
        </w:rPr>
        <w:t>arantees Act, 2000 (21 of 2000).</w:t>
      </w:r>
    </w:p>
    <w:p w:rsidR="00243A31" w:rsidRDefault="00243A31" w:rsidP="00243A31">
      <w:pPr>
        <w:pStyle w:val="ListParagraph"/>
        <w:numPr>
          <w:ilvl w:val="0"/>
          <w:numId w:val="3"/>
        </w:numPr>
        <w:spacing w:after="0" w:line="360" w:lineRule="auto"/>
        <w:jc w:val="both"/>
        <w:rPr>
          <w:rFonts w:ascii="Times New Roman" w:eastAsia="Times New Roman" w:hAnsi="Times New Roman"/>
          <w:sz w:val="24"/>
          <w:szCs w:val="24"/>
        </w:rPr>
      </w:pPr>
      <w:r w:rsidRPr="001204FE">
        <w:rPr>
          <w:rFonts w:ascii="Times New Roman" w:eastAsia="Times New Roman" w:hAnsi="Times New Roman"/>
          <w:sz w:val="24"/>
          <w:szCs w:val="24"/>
        </w:rPr>
        <w:t xml:space="preserve">Ensure that the outstanding debt-GSDP ratio follows a sustainable path emanating from the above targets of the deficit as specified by the Government beginning from the fiscal year 2011-12. The level of debt-GSDP is fixed based on the recommendations of the Central Finance Commission. </w:t>
      </w:r>
    </w:p>
    <w:p w:rsidR="00943421" w:rsidRDefault="00943421" w:rsidP="00084E00">
      <w:pPr>
        <w:pStyle w:val="ListParagraph"/>
        <w:numPr>
          <w:ilvl w:val="0"/>
          <w:numId w:val="3"/>
        </w:numPr>
        <w:spacing w:after="0" w:line="360" w:lineRule="auto"/>
        <w:jc w:val="both"/>
        <w:rPr>
          <w:rFonts w:ascii="Times New Roman" w:eastAsia="Times New Roman" w:hAnsi="Times New Roman"/>
          <w:sz w:val="24"/>
          <w:szCs w:val="24"/>
        </w:rPr>
      </w:pPr>
      <w:r w:rsidRPr="00943421">
        <w:rPr>
          <w:rFonts w:ascii="Times New Roman" w:eastAsia="Times New Roman" w:hAnsi="Times New Roman"/>
          <w:sz w:val="24"/>
          <w:szCs w:val="24"/>
        </w:rPr>
        <w:t>The FRBM Act of the State was supposed to take recommendations of the FC-XIV, if any, to revise its debt-GSDP targets. The FC-XIV, while anchoring the fiscal deficit at 3 percent of the State GSDP, recommended an increase of 0.5 percentage points, 0.25 percentage points separately, based on certain conditions relating to fiscal outcomes in the previous years.  One of the conditions was to limit the debt-GSDP ratio to 25 percent in the second preceding year. The FC-XIV, however, gave an illustrative operation of fiscal rules in which they used debt-GSDP ratios to reduce the aggregate debt-GSDP ratio to the desired fiscal consolidation path. The state government took the debt-GSDP ratio worked out in this illustrative exercise as recommended targ</w:t>
      </w:r>
      <w:r w:rsidR="00084E00">
        <w:rPr>
          <w:rFonts w:ascii="Times New Roman" w:eastAsia="Times New Roman" w:hAnsi="Times New Roman"/>
          <w:sz w:val="24"/>
          <w:szCs w:val="24"/>
        </w:rPr>
        <w:t>ets for Sikkim and included them</w:t>
      </w:r>
      <w:r w:rsidRPr="00943421">
        <w:rPr>
          <w:rFonts w:ascii="Times New Roman" w:eastAsia="Times New Roman" w:hAnsi="Times New Roman"/>
          <w:sz w:val="24"/>
          <w:szCs w:val="24"/>
        </w:rPr>
        <w:t xml:space="preserve"> in the amendments in 2016. Thes</w:t>
      </w:r>
      <w:r w:rsidR="00084E00">
        <w:rPr>
          <w:rFonts w:ascii="Times New Roman" w:eastAsia="Times New Roman" w:hAnsi="Times New Roman"/>
          <w:sz w:val="24"/>
          <w:szCs w:val="24"/>
        </w:rPr>
        <w:t>e</w:t>
      </w:r>
      <w:r w:rsidRPr="00943421">
        <w:rPr>
          <w:rFonts w:ascii="Times New Roman" w:eastAsia="Times New Roman" w:hAnsi="Times New Roman"/>
          <w:sz w:val="24"/>
          <w:szCs w:val="24"/>
        </w:rPr>
        <w:t xml:space="preserve"> targets were - 2015-16 – 20.63</w:t>
      </w:r>
      <w:r w:rsidR="00723D39">
        <w:rPr>
          <w:rFonts w:ascii="Times New Roman" w:eastAsia="Times New Roman" w:hAnsi="Times New Roman"/>
          <w:sz w:val="24"/>
          <w:szCs w:val="24"/>
        </w:rPr>
        <w:t xml:space="preserve"> percent</w:t>
      </w:r>
      <w:r w:rsidRPr="00943421">
        <w:rPr>
          <w:rFonts w:ascii="Times New Roman" w:eastAsia="Times New Roman" w:hAnsi="Times New Roman"/>
          <w:sz w:val="24"/>
          <w:szCs w:val="24"/>
        </w:rPr>
        <w:t>, 2016-17 – 20.09</w:t>
      </w:r>
      <w:r w:rsidR="00723D39">
        <w:rPr>
          <w:rFonts w:ascii="Times New Roman" w:eastAsia="Times New Roman" w:hAnsi="Times New Roman"/>
          <w:sz w:val="24"/>
          <w:szCs w:val="24"/>
        </w:rPr>
        <w:t xml:space="preserve"> percent</w:t>
      </w:r>
      <w:r w:rsidRPr="00943421">
        <w:rPr>
          <w:rFonts w:ascii="Times New Roman" w:eastAsia="Times New Roman" w:hAnsi="Times New Roman"/>
          <w:sz w:val="24"/>
          <w:szCs w:val="24"/>
        </w:rPr>
        <w:t>, 2017-18 – 19.66</w:t>
      </w:r>
      <w:r w:rsidR="00723D39">
        <w:rPr>
          <w:rFonts w:ascii="Times New Roman" w:eastAsia="Times New Roman" w:hAnsi="Times New Roman"/>
          <w:sz w:val="24"/>
          <w:szCs w:val="24"/>
        </w:rPr>
        <w:t xml:space="preserve"> percent</w:t>
      </w:r>
      <w:r w:rsidRPr="00943421">
        <w:rPr>
          <w:rFonts w:ascii="Times New Roman" w:eastAsia="Times New Roman" w:hAnsi="Times New Roman"/>
          <w:sz w:val="24"/>
          <w:szCs w:val="24"/>
        </w:rPr>
        <w:t xml:space="preserve">, 2018-19 </w:t>
      </w:r>
      <w:r w:rsidR="00723D39" w:rsidRPr="00943421">
        <w:rPr>
          <w:rFonts w:ascii="Times New Roman" w:eastAsia="Times New Roman" w:hAnsi="Times New Roman"/>
          <w:sz w:val="24"/>
          <w:szCs w:val="24"/>
        </w:rPr>
        <w:t>-</w:t>
      </w:r>
      <w:r w:rsidRPr="00943421">
        <w:rPr>
          <w:rFonts w:ascii="Times New Roman" w:eastAsia="Times New Roman" w:hAnsi="Times New Roman"/>
          <w:sz w:val="24"/>
          <w:szCs w:val="24"/>
        </w:rPr>
        <w:t xml:space="preserve"> 19.32</w:t>
      </w:r>
      <w:r w:rsidR="00723D39">
        <w:rPr>
          <w:rFonts w:ascii="Times New Roman" w:eastAsia="Times New Roman" w:hAnsi="Times New Roman"/>
          <w:sz w:val="24"/>
          <w:szCs w:val="24"/>
        </w:rPr>
        <w:t xml:space="preserve"> percent</w:t>
      </w:r>
      <w:r w:rsidRPr="00943421">
        <w:rPr>
          <w:rFonts w:ascii="Times New Roman" w:eastAsia="Times New Roman" w:hAnsi="Times New Roman"/>
          <w:sz w:val="24"/>
          <w:szCs w:val="24"/>
        </w:rPr>
        <w:t xml:space="preserve">, and 2019-20 </w:t>
      </w:r>
      <w:r w:rsidR="00723D39" w:rsidRPr="00943421">
        <w:rPr>
          <w:rFonts w:ascii="Times New Roman" w:eastAsia="Times New Roman" w:hAnsi="Times New Roman"/>
          <w:sz w:val="24"/>
          <w:szCs w:val="24"/>
        </w:rPr>
        <w:t>-</w:t>
      </w:r>
      <w:r w:rsidRPr="00943421">
        <w:rPr>
          <w:rFonts w:ascii="Times New Roman" w:eastAsia="Times New Roman" w:hAnsi="Times New Roman"/>
          <w:sz w:val="24"/>
          <w:szCs w:val="24"/>
        </w:rPr>
        <w:t xml:space="preserve"> 19.04</w:t>
      </w:r>
      <w:r w:rsidR="00723D39">
        <w:rPr>
          <w:rFonts w:ascii="Times New Roman" w:eastAsia="Times New Roman" w:hAnsi="Times New Roman"/>
          <w:sz w:val="24"/>
          <w:szCs w:val="24"/>
        </w:rPr>
        <w:t xml:space="preserve"> percent</w:t>
      </w:r>
      <w:r>
        <w:rPr>
          <w:rFonts w:ascii="Times New Roman" w:eastAsia="Times New Roman" w:hAnsi="Times New Roman"/>
          <w:sz w:val="24"/>
          <w:szCs w:val="24"/>
        </w:rPr>
        <w:t xml:space="preserve">. </w:t>
      </w:r>
      <w:r w:rsidRPr="00943421">
        <w:rPr>
          <w:rFonts w:ascii="Times New Roman" w:eastAsia="Times New Roman" w:hAnsi="Times New Roman"/>
          <w:sz w:val="24"/>
          <w:szCs w:val="24"/>
        </w:rPr>
        <w:t xml:space="preserve">These targets were less than what the state has been reporting since 2015-16. The debt-GSDP targets stipulated in the amended FRBM Act of 2016 looks little problematic from fiscal management point of view as it makes a sudden reduction from 55.90 percent in 2014-15 to 20.63 percent in 2015-16. However, for the purpose of this review report we have used debt-GSDP targets of 25 percent as the benchmark to assess the State’s compliance.  </w:t>
      </w:r>
    </w:p>
    <w:p w:rsidR="00943421" w:rsidRDefault="00C63017" w:rsidP="00C63017">
      <w:pPr>
        <w:pStyle w:val="ListParagraph"/>
        <w:numPr>
          <w:ilvl w:val="0"/>
          <w:numId w:val="3"/>
        </w:numPr>
        <w:spacing w:after="0" w:line="360" w:lineRule="auto"/>
        <w:jc w:val="both"/>
        <w:rPr>
          <w:rFonts w:ascii="Times New Roman" w:eastAsia="Times New Roman" w:hAnsi="Times New Roman"/>
          <w:sz w:val="24"/>
          <w:szCs w:val="24"/>
        </w:rPr>
      </w:pPr>
      <w:r w:rsidRPr="00C63017">
        <w:rPr>
          <w:rFonts w:ascii="Times New Roman" w:eastAsia="Times New Roman" w:hAnsi="Times New Roman"/>
          <w:sz w:val="24"/>
          <w:szCs w:val="24"/>
        </w:rPr>
        <w:t xml:space="preserve">The </w:t>
      </w:r>
      <w:r>
        <w:rPr>
          <w:rFonts w:ascii="Times New Roman" w:eastAsia="Times New Roman" w:hAnsi="Times New Roman"/>
          <w:sz w:val="24"/>
          <w:szCs w:val="24"/>
        </w:rPr>
        <w:t>s</w:t>
      </w:r>
      <w:r w:rsidRPr="00C63017">
        <w:rPr>
          <w:rFonts w:ascii="Times New Roman" w:eastAsia="Times New Roman" w:hAnsi="Times New Roman"/>
          <w:sz w:val="24"/>
          <w:szCs w:val="24"/>
        </w:rPr>
        <w:t xml:space="preserve">tates </w:t>
      </w:r>
      <w:r w:rsidR="00520A0B">
        <w:rPr>
          <w:rFonts w:ascii="Times New Roman" w:eastAsia="Times New Roman" w:hAnsi="Times New Roman"/>
          <w:sz w:val="24"/>
          <w:szCs w:val="24"/>
        </w:rPr>
        <w:t xml:space="preserve">in India </w:t>
      </w:r>
      <w:r w:rsidRPr="00C63017">
        <w:rPr>
          <w:rFonts w:ascii="Times New Roman" w:eastAsia="Times New Roman" w:hAnsi="Times New Roman"/>
          <w:sz w:val="24"/>
          <w:szCs w:val="24"/>
        </w:rPr>
        <w:t xml:space="preserve">faced </w:t>
      </w:r>
      <w:r w:rsidR="00520A0B">
        <w:rPr>
          <w:rFonts w:ascii="Times New Roman" w:eastAsia="Times New Roman" w:hAnsi="Times New Roman"/>
          <w:sz w:val="24"/>
          <w:szCs w:val="24"/>
        </w:rPr>
        <w:t xml:space="preserve">fiscal stress </w:t>
      </w:r>
      <w:r w:rsidRPr="00C63017">
        <w:rPr>
          <w:rFonts w:ascii="Times New Roman" w:eastAsia="Times New Roman" w:hAnsi="Times New Roman"/>
          <w:sz w:val="24"/>
          <w:szCs w:val="24"/>
        </w:rPr>
        <w:t xml:space="preserve">in 2019–20, to a large extent due to adjustment </w:t>
      </w:r>
      <w:r>
        <w:rPr>
          <w:rFonts w:ascii="Times New Roman" w:eastAsia="Times New Roman" w:hAnsi="Times New Roman"/>
          <w:sz w:val="24"/>
          <w:szCs w:val="24"/>
        </w:rPr>
        <w:t xml:space="preserve">of </w:t>
      </w:r>
      <w:r w:rsidRPr="00C63017">
        <w:rPr>
          <w:rFonts w:ascii="Times New Roman" w:eastAsia="Times New Roman" w:hAnsi="Times New Roman"/>
          <w:sz w:val="24"/>
          <w:szCs w:val="24"/>
        </w:rPr>
        <w:t xml:space="preserve">tax devolution by the central government </w:t>
      </w:r>
      <w:r w:rsidR="00030194">
        <w:rPr>
          <w:rFonts w:ascii="Times New Roman" w:eastAsia="Times New Roman" w:hAnsi="Times New Roman"/>
          <w:sz w:val="24"/>
          <w:szCs w:val="24"/>
        </w:rPr>
        <w:t>amounting Rs.</w:t>
      </w:r>
      <w:r w:rsidR="00C713BA">
        <w:rPr>
          <w:rFonts w:ascii="Times New Roman" w:eastAsia="Times New Roman" w:hAnsi="Times New Roman"/>
          <w:sz w:val="24"/>
          <w:szCs w:val="24"/>
        </w:rPr>
        <w:t xml:space="preserve"> </w:t>
      </w:r>
      <w:r w:rsidR="00030194">
        <w:rPr>
          <w:rFonts w:ascii="Times New Roman" w:eastAsia="Times New Roman" w:hAnsi="Times New Roman"/>
          <w:sz w:val="24"/>
          <w:szCs w:val="24"/>
        </w:rPr>
        <w:t>58,</w:t>
      </w:r>
      <w:r w:rsidR="0072313A">
        <w:rPr>
          <w:rFonts w:ascii="Times New Roman" w:eastAsia="Times New Roman" w:hAnsi="Times New Roman"/>
          <w:sz w:val="24"/>
          <w:szCs w:val="24"/>
        </w:rPr>
        <w:t xml:space="preserve">843 crores due to lower collection </w:t>
      </w:r>
      <w:r w:rsidR="0072313A">
        <w:rPr>
          <w:rFonts w:ascii="Times New Roman" w:eastAsia="Times New Roman" w:hAnsi="Times New Roman"/>
          <w:sz w:val="24"/>
          <w:szCs w:val="24"/>
        </w:rPr>
        <w:lastRenderedPageBreak/>
        <w:t xml:space="preserve">of central taxes in 2018-19. To provide relief to states on account of lower tax devolution in 2019-20, central government decided to allow </w:t>
      </w:r>
      <w:r w:rsidR="00B020BA">
        <w:rPr>
          <w:rFonts w:ascii="Times New Roman" w:eastAsia="Times New Roman" w:hAnsi="Times New Roman"/>
          <w:sz w:val="24"/>
          <w:szCs w:val="24"/>
        </w:rPr>
        <w:t>additional borrowing of Rs. 58,</w:t>
      </w:r>
      <w:r w:rsidR="0072313A">
        <w:rPr>
          <w:rFonts w:ascii="Times New Roman" w:eastAsia="Times New Roman" w:hAnsi="Times New Roman"/>
          <w:sz w:val="24"/>
          <w:szCs w:val="24"/>
        </w:rPr>
        <w:t>843 crores in 2019-20. It cannot be claimed in subsequent years. This onetime special dispensation was subject to amendment of state’s FRBM legislation for 2019-20. Under this onetime dispensation</w:t>
      </w:r>
      <w:r w:rsidR="00B020BA">
        <w:rPr>
          <w:rFonts w:ascii="Times New Roman" w:eastAsia="Times New Roman" w:hAnsi="Times New Roman"/>
          <w:sz w:val="24"/>
          <w:szCs w:val="24"/>
        </w:rPr>
        <w:t>, Sikkim was allowed to borrow R</w:t>
      </w:r>
      <w:r w:rsidR="0072313A">
        <w:rPr>
          <w:rFonts w:ascii="Times New Roman" w:eastAsia="Times New Roman" w:hAnsi="Times New Roman"/>
          <w:sz w:val="24"/>
          <w:szCs w:val="24"/>
        </w:rPr>
        <w:t>s</w:t>
      </w:r>
      <w:r w:rsidR="00B020BA">
        <w:rPr>
          <w:rFonts w:ascii="Times New Roman" w:eastAsia="Times New Roman" w:hAnsi="Times New Roman"/>
          <w:sz w:val="24"/>
          <w:szCs w:val="24"/>
        </w:rPr>
        <w:t xml:space="preserve">. </w:t>
      </w:r>
      <w:r w:rsidR="0072313A">
        <w:rPr>
          <w:rFonts w:ascii="Times New Roman" w:eastAsia="Times New Roman" w:hAnsi="Times New Roman"/>
          <w:sz w:val="24"/>
          <w:szCs w:val="24"/>
        </w:rPr>
        <w:t>216 crores in 2019-20.</w:t>
      </w:r>
    </w:p>
    <w:p w:rsidR="0072313A" w:rsidRPr="00943421" w:rsidRDefault="0072313A" w:rsidP="00084E00">
      <w:pPr>
        <w:pStyle w:val="ListParagraph"/>
        <w:numPr>
          <w:ilvl w:val="0"/>
          <w:numId w:val="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Thus</w:t>
      </w:r>
      <w:r w:rsidR="00845C93">
        <w:rPr>
          <w:rFonts w:ascii="Times New Roman" w:eastAsia="Times New Roman" w:hAnsi="Times New Roman"/>
          <w:sz w:val="24"/>
          <w:szCs w:val="24"/>
        </w:rPr>
        <w:t>,</w:t>
      </w:r>
      <w:r>
        <w:rPr>
          <w:rFonts w:ascii="Times New Roman" w:eastAsia="Times New Roman" w:hAnsi="Times New Roman"/>
          <w:sz w:val="24"/>
          <w:szCs w:val="24"/>
        </w:rPr>
        <w:t xml:space="preserve"> for all practical purposes, </w:t>
      </w:r>
      <w:r w:rsidR="00845C93">
        <w:rPr>
          <w:rFonts w:ascii="Times New Roman" w:eastAsia="Times New Roman" w:hAnsi="Times New Roman"/>
          <w:sz w:val="24"/>
          <w:szCs w:val="24"/>
        </w:rPr>
        <w:t xml:space="preserve">after the amendment to the Act </w:t>
      </w:r>
      <w:r w:rsidR="00BB0AEF">
        <w:rPr>
          <w:rFonts w:ascii="Times New Roman" w:eastAsia="Times New Roman" w:hAnsi="Times New Roman"/>
          <w:sz w:val="24"/>
          <w:szCs w:val="24"/>
        </w:rPr>
        <w:t xml:space="preserve">in </w:t>
      </w:r>
      <w:r w:rsidR="00845C93">
        <w:rPr>
          <w:rFonts w:ascii="Times New Roman" w:eastAsia="Times New Roman" w:hAnsi="Times New Roman"/>
          <w:sz w:val="24"/>
          <w:szCs w:val="24"/>
        </w:rPr>
        <w:t>2019-20</w:t>
      </w:r>
      <w:r w:rsidR="00BB0AEF">
        <w:rPr>
          <w:rFonts w:ascii="Times New Roman" w:eastAsia="Times New Roman" w:hAnsi="Times New Roman"/>
          <w:sz w:val="24"/>
          <w:szCs w:val="24"/>
        </w:rPr>
        <w:t>,</w:t>
      </w:r>
      <w:r w:rsidR="00845C93">
        <w:rPr>
          <w:rFonts w:ascii="Times New Roman" w:eastAsia="Times New Roman" w:hAnsi="Times New Roman"/>
          <w:sz w:val="24"/>
          <w:szCs w:val="24"/>
        </w:rPr>
        <w:t xml:space="preserve"> the fiscal deficit target st</w:t>
      </w:r>
      <w:r w:rsidR="00BB0AEF">
        <w:rPr>
          <w:rFonts w:ascii="Times New Roman" w:eastAsia="Times New Roman" w:hAnsi="Times New Roman"/>
          <w:sz w:val="24"/>
          <w:szCs w:val="24"/>
        </w:rPr>
        <w:t xml:space="preserve">ood </w:t>
      </w:r>
      <w:r w:rsidR="00845C93">
        <w:rPr>
          <w:rFonts w:ascii="Times New Roman" w:eastAsia="Times New Roman" w:hAnsi="Times New Roman"/>
          <w:sz w:val="24"/>
          <w:szCs w:val="24"/>
        </w:rPr>
        <w:t>at 4.26 percent of GSDP. This include</w:t>
      </w:r>
      <w:r w:rsidR="00BB0AEF">
        <w:rPr>
          <w:rFonts w:ascii="Times New Roman" w:eastAsia="Times New Roman" w:hAnsi="Times New Roman"/>
          <w:sz w:val="24"/>
          <w:szCs w:val="24"/>
        </w:rPr>
        <w:t>d</w:t>
      </w:r>
      <w:r w:rsidR="00845C93">
        <w:rPr>
          <w:rFonts w:ascii="Times New Roman" w:eastAsia="Times New Roman" w:hAnsi="Times New Roman"/>
          <w:sz w:val="24"/>
          <w:szCs w:val="24"/>
        </w:rPr>
        <w:t xml:space="preserve"> usual 3 percent FRBM Act target, 0.5 percent flexibility provided by FCXIV, and special onetime dissension borrowing of Rs.216 crores for 2019-20.  </w:t>
      </w:r>
    </w:p>
    <w:p w:rsidR="00943421" w:rsidRDefault="00943421" w:rsidP="00971BE0">
      <w:pPr>
        <w:pStyle w:val="ListParagraph"/>
        <w:spacing w:after="0" w:line="360" w:lineRule="auto"/>
        <w:ind w:left="360"/>
        <w:jc w:val="both"/>
        <w:rPr>
          <w:rFonts w:ascii="Times New Roman" w:eastAsia="Times New Roman" w:hAnsi="Times New Roman"/>
          <w:sz w:val="24"/>
          <w:szCs w:val="24"/>
        </w:rPr>
      </w:pPr>
    </w:p>
    <w:p w:rsidR="00413ACA" w:rsidRPr="00413ACA" w:rsidRDefault="00413ACA" w:rsidP="00971BE0">
      <w:pPr>
        <w:spacing w:after="0" w:line="360" w:lineRule="auto"/>
        <w:jc w:val="both"/>
        <w:rPr>
          <w:rFonts w:ascii="Times New Roman" w:eastAsia="Times New Roman" w:hAnsi="Times New Roman"/>
          <w:b/>
          <w:sz w:val="24"/>
          <w:szCs w:val="24"/>
        </w:rPr>
      </w:pPr>
      <w:r w:rsidRPr="00413ACA">
        <w:rPr>
          <w:rFonts w:ascii="Times New Roman" w:eastAsia="Times New Roman" w:hAnsi="Times New Roman"/>
          <w:b/>
          <w:sz w:val="24"/>
          <w:szCs w:val="24"/>
        </w:rPr>
        <w:t>4.2 Compliance of the State Government to the FRBM Act Targets: 201</w:t>
      </w:r>
      <w:r w:rsidR="00C26C6A">
        <w:rPr>
          <w:rFonts w:ascii="Times New Roman" w:eastAsia="Times New Roman" w:hAnsi="Times New Roman"/>
          <w:b/>
          <w:sz w:val="24"/>
          <w:szCs w:val="24"/>
        </w:rPr>
        <w:t>9</w:t>
      </w:r>
      <w:r w:rsidRPr="00413ACA">
        <w:rPr>
          <w:rFonts w:ascii="Times New Roman" w:eastAsia="Times New Roman" w:hAnsi="Times New Roman"/>
          <w:b/>
          <w:sz w:val="24"/>
          <w:szCs w:val="24"/>
        </w:rPr>
        <w:t>-</w:t>
      </w:r>
      <w:r w:rsidR="00C26C6A">
        <w:rPr>
          <w:rFonts w:ascii="Times New Roman" w:eastAsia="Times New Roman" w:hAnsi="Times New Roman"/>
          <w:b/>
          <w:sz w:val="24"/>
          <w:szCs w:val="24"/>
        </w:rPr>
        <w:t>20</w:t>
      </w:r>
    </w:p>
    <w:p w:rsidR="00C26C6A" w:rsidRDefault="00C26C6A" w:rsidP="00971BE0">
      <w:pPr>
        <w:spacing w:after="0" w:line="360" w:lineRule="auto"/>
        <w:jc w:val="both"/>
        <w:rPr>
          <w:rFonts w:ascii="Times New Roman" w:hAnsi="Times New Roman"/>
          <w:sz w:val="24"/>
          <w:szCs w:val="24"/>
        </w:rPr>
      </w:pPr>
    </w:p>
    <w:p w:rsidR="00C26C6A" w:rsidRDefault="004E6951" w:rsidP="00971BE0">
      <w:pPr>
        <w:spacing w:after="0" w:line="360" w:lineRule="auto"/>
        <w:jc w:val="both"/>
        <w:rPr>
          <w:rFonts w:ascii="Times New Roman" w:hAnsi="Times New Roman"/>
          <w:sz w:val="24"/>
          <w:szCs w:val="24"/>
        </w:rPr>
      </w:pPr>
      <w:r w:rsidRPr="004E6951">
        <w:rPr>
          <w:rFonts w:ascii="Times New Roman" w:hAnsi="Times New Roman"/>
          <w:sz w:val="24"/>
          <w:szCs w:val="24"/>
        </w:rPr>
        <w:t>The fiscal situation discussed in the earlier section</w:t>
      </w:r>
      <w:r>
        <w:rPr>
          <w:rFonts w:ascii="Times New Roman" w:hAnsi="Times New Roman"/>
          <w:sz w:val="24"/>
          <w:szCs w:val="24"/>
        </w:rPr>
        <w:t>s</w:t>
      </w:r>
      <w:r w:rsidRPr="004E6951">
        <w:rPr>
          <w:rFonts w:ascii="Times New Roman" w:hAnsi="Times New Roman"/>
          <w:sz w:val="24"/>
          <w:szCs w:val="24"/>
        </w:rPr>
        <w:t xml:space="preserve"> </w:t>
      </w:r>
      <w:r>
        <w:rPr>
          <w:rFonts w:ascii="Times New Roman" w:hAnsi="Times New Roman"/>
          <w:sz w:val="24"/>
          <w:szCs w:val="24"/>
        </w:rPr>
        <w:t xml:space="preserve">shows that it was </w:t>
      </w:r>
      <w:r w:rsidRPr="004E6951">
        <w:rPr>
          <w:rFonts w:ascii="Times New Roman" w:hAnsi="Times New Roman"/>
          <w:sz w:val="24"/>
          <w:szCs w:val="24"/>
        </w:rPr>
        <w:t>very unfavorable in 2019–20 for the state.</w:t>
      </w:r>
      <w:r>
        <w:rPr>
          <w:rFonts w:ascii="Times New Roman" w:hAnsi="Times New Roman"/>
          <w:sz w:val="24"/>
          <w:szCs w:val="24"/>
        </w:rPr>
        <w:t xml:space="preserve"> </w:t>
      </w:r>
      <w:r w:rsidR="00E363A2">
        <w:rPr>
          <w:rFonts w:ascii="Times New Roman" w:hAnsi="Times New Roman"/>
          <w:sz w:val="24"/>
          <w:szCs w:val="24"/>
        </w:rPr>
        <w:t>The revenue receipts of the state as percent to GSDP declined to 14.91 percent as against 22.29 percent in the previous year. The decline in revenue receipt was mostly driven by central transfers, which went down to 9.79 percent in 2019-20 as compared to 16.29 percent in the previous year. Own revenue of the state as percent to GSDP also showed a marginal decline. The year-on-year growth rate in 2019-20 shows that revenue receipts declined by 18.91 percent.</w:t>
      </w:r>
    </w:p>
    <w:p w:rsidR="00153673" w:rsidRDefault="00153673" w:rsidP="00971BE0">
      <w:pPr>
        <w:spacing w:after="0" w:line="360" w:lineRule="auto"/>
        <w:jc w:val="both"/>
        <w:rPr>
          <w:rFonts w:ascii="Times New Roman" w:hAnsi="Times New Roman"/>
          <w:sz w:val="24"/>
          <w:szCs w:val="24"/>
        </w:rPr>
      </w:pPr>
    </w:p>
    <w:p w:rsidR="00E363A2" w:rsidRDefault="00E363A2" w:rsidP="009E43DE">
      <w:pPr>
        <w:spacing w:line="360" w:lineRule="auto"/>
        <w:jc w:val="both"/>
        <w:rPr>
          <w:rFonts w:ascii="Times New Roman" w:hAnsi="Times New Roman"/>
          <w:sz w:val="24"/>
          <w:szCs w:val="24"/>
        </w:rPr>
      </w:pPr>
      <w:r>
        <w:rPr>
          <w:rFonts w:ascii="Times New Roman" w:hAnsi="Times New Roman"/>
          <w:sz w:val="24"/>
          <w:szCs w:val="24"/>
        </w:rPr>
        <w:t>The impact of this massive fall in revenue receipts, however</w:t>
      </w:r>
      <w:r w:rsidR="00D7157F">
        <w:rPr>
          <w:rFonts w:ascii="Times New Roman" w:hAnsi="Times New Roman"/>
          <w:sz w:val="24"/>
          <w:szCs w:val="24"/>
        </w:rPr>
        <w:t xml:space="preserve">, was not seen in terms of </w:t>
      </w:r>
      <w:r w:rsidR="00520A0B">
        <w:rPr>
          <w:rFonts w:ascii="Times New Roman" w:hAnsi="Times New Roman"/>
          <w:sz w:val="24"/>
          <w:szCs w:val="24"/>
        </w:rPr>
        <w:t xml:space="preserve">similar </w:t>
      </w:r>
      <w:r w:rsidR="00D7157F">
        <w:rPr>
          <w:rFonts w:ascii="Times New Roman" w:hAnsi="Times New Roman"/>
          <w:sz w:val="24"/>
          <w:szCs w:val="24"/>
        </w:rPr>
        <w:t>spending adjustments in 2019-20. The revenue expenditure, which accounts for about 80 percent of total expenditure, fell to 19.05 percent relative to GSDP in 2019-20 as compared to 19.51 percent in the previous year. Indeed, a large part of the revenue expenditure was committed and thus, downward rigid. The state government also paid the arrears of salary and pensions as per the recommendation of 6</w:t>
      </w:r>
      <w:r w:rsidR="00D7157F" w:rsidRPr="00D7157F">
        <w:rPr>
          <w:rFonts w:ascii="Times New Roman" w:hAnsi="Times New Roman"/>
          <w:sz w:val="24"/>
          <w:szCs w:val="24"/>
          <w:vertAlign w:val="superscript"/>
        </w:rPr>
        <w:t>th</w:t>
      </w:r>
      <w:r w:rsidR="00D7157F">
        <w:rPr>
          <w:rFonts w:ascii="Times New Roman" w:hAnsi="Times New Roman"/>
          <w:sz w:val="24"/>
          <w:szCs w:val="24"/>
        </w:rPr>
        <w:t xml:space="preserve"> </w:t>
      </w:r>
      <w:r w:rsidR="00B020BA">
        <w:rPr>
          <w:rFonts w:ascii="Times New Roman" w:hAnsi="Times New Roman"/>
          <w:sz w:val="24"/>
          <w:szCs w:val="24"/>
        </w:rPr>
        <w:t>P</w:t>
      </w:r>
      <w:r w:rsidR="00D7157F">
        <w:rPr>
          <w:rFonts w:ascii="Times New Roman" w:hAnsi="Times New Roman"/>
          <w:sz w:val="24"/>
          <w:szCs w:val="24"/>
        </w:rPr>
        <w:t>a</w:t>
      </w:r>
      <w:r w:rsidR="00B020BA">
        <w:rPr>
          <w:rFonts w:ascii="Times New Roman" w:hAnsi="Times New Roman"/>
          <w:sz w:val="24"/>
          <w:szCs w:val="24"/>
        </w:rPr>
        <w:t>y C</w:t>
      </w:r>
      <w:r w:rsidR="00D7157F">
        <w:rPr>
          <w:rFonts w:ascii="Times New Roman" w:hAnsi="Times New Roman"/>
          <w:sz w:val="24"/>
          <w:szCs w:val="24"/>
        </w:rPr>
        <w:t>ommission, which added to the revenue expenditure. It was the capital expenditure, which is treated as residual in the system, witnessed large fall to 2.27 percent of GSDP in 2019-20 as compared to 4.99 percent in the previous year.</w:t>
      </w:r>
    </w:p>
    <w:p w:rsidR="008357A9" w:rsidRDefault="00D7157F" w:rsidP="009E43DE">
      <w:pPr>
        <w:spacing w:line="360" w:lineRule="auto"/>
        <w:jc w:val="both"/>
        <w:rPr>
          <w:rFonts w:ascii="Times New Roman" w:hAnsi="Times New Roman"/>
          <w:sz w:val="24"/>
          <w:szCs w:val="24"/>
        </w:rPr>
      </w:pPr>
      <w:r>
        <w:rPr>
          <w:rFonts w:ascii="Times New Roman" w:hAnsi="Times New Roman"/>
          <w:sz w:val="24"/>
          <w:szCs w:val="24"/>
        </w:rPr>
        <w:t xml:space="preserve">The overall impact of this fiscal management was sharp rise in revenue </w:t>
      </w:r>
      <w:r w:rsidR="001119DE">
        <w:rPr>
          <w:rFonts w:ascii="Times New Roman" w:hAnsi="Times New Roman"/>
          <w:sz w:val="24"/>
          <w:szCs w:val="24"/>
        </w:rPr>
        <w:t xml:space="preserve">and fiscal deficit way beyond the FRBM Act targets (Table 4.1). </w:t>
      </w:r>
    </w:p>
    <w:p w:rsidR="00D7157F" w:rsidRDefault="008357A9" w:rsidP="008357A9">
      <w:pPr>
        <w:pStyle w:val="ListParagraph"/>
        <w:numPr>
          <w:ilvl w:val="0"/>
          <w:numId w:val="8"/>
        </w:numPr>
        <w:spacing w:line="360" w:lineRule="auto"/>
        <w:jc w:val="both"/>
        <w:rPr>
          <w:rFonts w:ascii="Times New Roman" w:hAnsi="Times New Roman"/>
          <w:sz w:val="24"/>
          <w:szCs w:val="24"/>
        </w:rPr>
      </w:pPr>
      <w:r w:rsidRPr="008357A9">
        <w:rPr>
          <w:rFonts w:ascii="Times New Roman" w:hAnsi="Times New Roman"/>
          <w:b/>
          <w:sz w:val="24"/>
          <w:szCs w:val="24"/>
        </w:rPr>
        <w:t>Revenue Deficit/Surplus</w:t>
      </w:r>
      <w:r>
        <w:rPr>
          <w:rFonts w:ascii="Times New Roman" w:hAnsi="Times New Roman"/>
          <w:sz w:val="24"/>
          <w:szCs w:val="24"/>
        </w:rPr>
        <w:t xml:space="preserve">: </w:t>
      </w:r>
      <w:r w:rsidRPr="008357A9">
        <w:rPr>
          <w:rFonts w:ascii="Times New Roman" w:hAnsi="Times New Roman"/>
          <w:sz w:val="24"/>
          <w:szCs w:val="24"/>
        </w:rPr>
        <w:t>As against FRBM</w:t>
      </w:r>
      <w:r>
        <w:rPr>
          <w:rFonts w:ascii="Times New Roman" w:hAnsi="Times New Roman"/>
          <w:sz w:val="24"/>
          <w:szCs w:val="24"/>
        </w:rPr>
        <w:t xml:space="preserve"> </w:t>
      </w:r>
      <w:r w:rsidRPr="008357A9">
        <w:rPr>
          <w:rFonts w:ascii="Times New Roman" w:hAnsi="Times New Roman"/>
          <w:sz w:val="24"/>
          <w:szCs w:val="24"/>
        </w:rPr>
        <w:t>target</w:t>
      </w:r>
      <w:r w:rsidR="001119DE" w:rsidRPr="008357A9">
        <w:rPr>
          <w:rFonts w:ascii="Times New Roman" w:hAnsi="Times New Roman"/>
          <w:sz w:val="24"/>
          <w:szCs w:val="24"/>
        </w:rPr>
        <w:t xml:space="preserve"> </w:t>
      </w:r>
      <w:r w:rsidRPr="008357A9">
        <w:rPr>
          <w:rFonts w:ascii="Times New Roman" w:hAnsi="Times New Roman"/>
          <w:sz w:val="24"/>
          <w:szCs w:val="24"/>
        </w:rPr>
        <w:t xml:space="preserve">of generating surplus </w:t>
      </w:r>
      <w:r>
        <w:rPr>
          <w:rFonts w:ascii="Times New Roman" w:hAnsi="Times New Roman"/>
          <w:sz w:val="24"/>
          <w:szCs w:val="24"/>
        </w:rPr>
        <w:t>in the revenue account, a sharp rise in revenue deficit was seen to the tune of 4.14 percent. In fact during the post-FRBM period, this is the first time revenue account went into deficit.</w:t>
      </w:r>
    </w:p>
    <w:p w:rsidR="00C26C6A" w:rsidRPr="00C82D59" w:rsidRDefault="00C26C6A" w:rsidP="00C26C6A">
      <w:pPr>
        <w:spacing w:after="0" w:line="240" w:lineRule="auto"/>
        <w:jc w:val="center"/>
        <w:rPr>
          <w:rFonts w:ascii="Times New Roman" w:hAnsi="Times New Roman"/>
          <w:b/>
        </w:rPr>
      </w:pPr>
      <w:r w:rsidRPr="00C82D59">
        <w:rPr>
          <w:rFonts w:ascii="Times New Roman" w:hAnsi="Times New Roman"/>
          <w:b/>
        </w:rPr>
        <w:lastRenderedPageBreak/>
        <w:t xml:space="preserve">Table </w:t>
      </w:r>
      <w:r w:rsidR="00B020BA">
        <w:rPr>
          <w:rFonts w:ascii="Times New Roman" w:hAnsi="Times New Roman"/>
          <w:b/>
        </w:rPr>
        <w:t xml:space="preserve">4.1: </w:t>
      </w:r>
      <w:r w:rsidRPr="00C82D59">
        <w:rPr>
          <w:rFonts w:ascii="Times New Roman" w:hAnsi="Times New Roman"/>
          <w:b/>
        </w:rPr>
        <w:t>FRBM Act Targets and Fiscal Achievements during 201</w:t>
      </w:r>
      <w:r>
        <w:rPr>
          <w:rFonts w:ascii="Times New Roman" w:hAnsi="Times New Roman"/>
          <w:b/>
        </w:rPr>
        <w:t>9</w:t>
      </w:r>
      <w:r w:rsidRPr="00C82D59">
        <w:rPr>
          <w:rFonts w:ascii="Times New Roman" w:hAnsi="Times New Roman"/>
          <w:b/>
        </w:rPr>
        <w:t>-</w:t>
      </w:r>
      <w:r>
        <w:rPr>
          <w:rFonts w:ascii="Times New Roman" w:hAnsi="Times New Roman"/>
          <w:b/>
        </w:rPr>
        <w:t>20</w:t>
      </w:r>
    </w:p>
    <w:p w:rsidR="00C26C6A" w:rsidRPr="00B020BA" w:rsidRDefault="00B020BA" w:rsidP="00C26C6A">
      <w:pPr>
        <w:spacing w:after="0"/>
        <w:jc w:val="right"/>
        <w:rPr>
          <w:rFonts w:ascii="Times New Roman" w:hAnsi="Times New Roman"/>
          <w:b/>
          <w:i/>
        </w:rPr>
      </w:pPr>
      <w:r>
        <w:rPr>
          <w:rFonts w:ascii="Times New Roman" w:hAnsi="Times New Roman"/>
          <w:b/>
          <w:i/>
        </w:rPr>
        <w:t>(</w:t>
      </w:r>
      <w:r w:rsidR="00C26C6A" w:rsidRPr="00B020BA">
        <w:rPr>
          <w:rFonts w:ascii="Times New Roman" w:hAnsi="Times New Roman"/>
          <w:b/>
          <w:i/>
        </w:rPr>
        <w:t>Percent</w:t>
      </w:r>
      <w:r>
        <w:rPr>
          <w:rFonts w:ascii="Times New Roman" w:hAnsi="Times New Roman"/>
          <w:b/>
          <w:i/>
        </w:rPr>
        <w:t>)</w:t>
      </w:r>
    </w:p>
    <w:tbl>
      <w:tblPr>
        <w:tblW w:w="5000" w:type="pct"/>
        <w:tblLook w:val="04A0" w:firstRow="1" w:lastRow="0" w:firstColumn="1" w:lastColumn="0" w:noHBand="0" w:noVBand="1"/>
      </w:tblPr>
      <w:tblGrid>
        <w:gridCol w:w="2688"/>
        <w:gridCol w:w="4923"/>
        <w:gridCol w:w="1405"/>
      </w:tblGrid>
      <w:tr w:rsidR="00346C0C" w:rsidRPr="00A84CEE" w:rsidTr="00C81AC4">
        <w:trPr>
          <w:trHeight w:val="300"/>
        </w:trPr>
        <w:tc>
          <w:tcPr>
            <w:tcW w:w="149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26C6A" w:rsidRPr="00A84CEE" w:rsidRDefault="00C26C6A" w:rsidP="00C62B2F">
            <w:pPr>
              <w:spacing w:before="120" w:after="0" w:line="240" w:lineRule="auto"/>
              <w:rPr>
                <w:rFonts w:ascii="Times New Roman" w:eastAsia="Times New Roman" w:hAnsi="Times New Roman"/>
                <w:color w:val="000000"/>
                <w:sz w:val="20"/>
                <w:szCs w:val="20"/>
                <w:lang w:val="en-IN" w:eastAsia="en-IN"/>
              </w:rPr>
            </w:pPr>
            <w:r w:rsidRPr="00A84CEE">
              <w:rPr>
                <w:rFonts w:ascii="Times New Roman" w:eastAsia="Times New Roman" w:hAnsi="Times New Roman"/>
                <w:color w:val="000000"/>
                <w:sz w:val="20"/>
                <w:szCs w:val="20"/>
                <w:lang w:val="en-IN" w:eastAsia="en-IN"/>
              </w:rPr>
              <w:t> </w:t>
            </w:r>
          </w:p>
        </w:tc>
        <w:tc>
          <w:tcPr>
            <w:tcW w:w="2730" w:type="pct"/>
            <w:tcBorders>
              <w:top w:val="single" w:sz="4" w:space="0" w:color="auto"/>
              <w:left w:val="nil"/>
              <w:bottom w:val="single" w:sz="4" w:space="0" w:color="auto"/>
              <w:right w:val="single" w:sz="4" w:space="0" w:color="auto"/>
            </w:tcBorders>
            <w:shd w:val="clear" w:color="auto" w:fill="auto"/>
            <w:noWrap/>
            <w:vAlign w:val="bottom"/>
            <w:hideMark/>
          </w:tcPr>
          <w:p w:rsidR="00C26C6A" w:rsidRPr="00A84CEE" w:rsidRDefault="00C26C6A" w:rsidP="00C62B2F">
            <w:pPr>
              <w:spacing w:before="120" w:after="0" w:line="240" w:lineRule="auto"/>
              <w:jc w:val="center"/>
              <w:rPr>
                <w:rFonts w:ascii="Times New Roman" w:eastAsia="Times New Roman" w:hAnsi="Times New Roman"/>
                <w:b/>
                <w:bCs/>
                <w:color w:val="000000"/>
                <w:sz w:val="20"/>
                <w:szCs w:val="20"/>
                <w:lang w:val="en-IN" w:eastAsia="en-IN"/>
              </w:rPr>
            </w:pPr>
            <w:r w:rsidRPr="00A84CEE">
              <w:rPr>
                <w:rFonts w:ascii="Times New Roman" w:eastAsia="Times New Roman" w:hAnsi="Times New Roman"/>
                <w:b/>
                <w:bCs/>
                <w:color w:val="000000"/>
                <w:sz w:val="20"/>
                <w:szCs w:val="20"/>
                <w:lang w:val="en-IN" w:eastAsia="en-IN"/>
              </w:rPr>
              <w:t>Targets</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rsidR="00C26C6A" w:rsidRPr="00A84CEE" w:rsidRDefault="00C26C6A" w:rsidP="00C62B2F">
            <w:pPr>
              <w:spacing w:before="120" w:after="0" w:line="240" w:lineRule="auto"/>
              <w:jc w:val="center"/>
              <w:rPr>
                <w:rFonts w:ascii="Times New Roman" w:eastAsia="Times New Roman" w:hAnsi="Times New Roman"/>
                <w:b/>
                <w:bCs/>
                <w:color w:val="000000"/>
                <w:sz w:val="20"/>
                <w:szCs w:val="20"/>
                <w:lang w:val="en-IN" w:eastAsia="en-IN"/>
              </w:rPr>
            </w:pPr>
            <w:r w:rsidRPr="00A84CEE">
              <w:rPr>
                <w:rFonts w:ascii="Times New Roman" w:eastAsia="Times New Roman" w:hAnsi="Times New Roman"/>
                <w:b/>
                <w:bCs/>
                <w:color w:val="000000"/>
                <w:sz w:val="20"/>
                <w:szCs w:val="20"/>
                <w:lang w:val="en-IN" w:eastAsia="en-IN"/>
              </w:rPr>
              <w:t>Achievements</w:t>
            </w:r>
          </w:p>
        </w:tc>
      </w:tr>
      <w:tr w:rsidR="00346C0C" w:rsidRPr="00A84CEE" w:rsidTr="00C81AC4">
        <w:trPr>
          <w:trHeight w:val="64"/>
        </w:trPr>
        <w:tc>
          <w:tcPr>
            <w:tcW w:w="1491" w:type="pct"/>
            <w:tcBorders>
              <w:top w:val="nil"/>
              <w:left w:val="single" w:sz="4" w:space="0" w:color="auto"/>
              <w:bottom w:val="single" w:sz="4" w:space="0" w:color="auto"/>
              <w:right w:val="single" w:sz="4" w:space="0" w:color="auto"/>
            </w:tcBorders>
            <w:shd w:val="clear" w:color="auto" w:fill="auto"/>
            <w:vAlign w:val="bottom"/>
            <w:hideMark/>
          </w:tcPr>
          <w:p w:rsidR="00C26C6A" w:rsidRPr="00A84CEE" w:rsidRDefault="00C26C6A" w:rsidP="00C62B2F">
            <w:pPr>
              <w:spacing w:before="120" w:after="0" w:line="240" w:lineRule="auto"/>
              <w:rPr>
                <w:rFonts w:ascii="Times New Roman" w:eastAsia="Times New Roman" w:hAnsi="Times New Roman"/>
                <w:color w:val="000000"/>
                <w:sz w:val="20"/>
                <w:szCs w:val="20"/>
                <w:lang w:val="en-IN" w:eastAsia="en-IN"/>
              </w:rPr>
            </w:pPr>
            <w:r w:rsidRPr="00A84CEE">
              <w:rPr>
                <w:rFonts w:ascii="Times New Roman" w:eastAsia="Times New Roman" w:hAnsi="Times New Roman"/>
                <w:color w:val="000000"/>
                <w:sz w:val="20"/>
                <w:szCs w:val="20"/>
                <w:lang w:val="en-IN" w:eastAsia="en-IN"/>
              </w:rPr>
              <w:t>Revenue Deficit</w:t>
            </w:r>
            <w:r w:rsidR="00B020BA">
              <w:rPr>
                <w:rFonts w:ascii="Times New Roman" w:eastAsia="Times New Roman" w:hAnsi="Times New Roman"/>
                <w:color w:val="000000"/>
                <w:sz w:val="20"/>
                <w:szCs w:val="20"/>
                <w:lang w:val="en-IN" w:eastAsia="en-IN"/>
              </w:rPr>
              <w:t xml:space="preserve"> (-)/S</w:t>
            </w:r>
            <w:r>
              <w:rPr>
                <w:rFonts w:ascii="Times New Roman" w:eastAsia="Times New Roman" w:hAnsi="Times New Roman"/>
                <w:color w:val="000000"/>
                <w:sz w:val="20"/>
                <w:szCs w:val="20"/>
                <w:lang w:val="en-IN" w:eastAsia="en-IN"/>
              </w:rPr>
              <w:t xml:space="preserve">urplus (+) </w:t>
            </w:r>
            <w:r w:rsidRPr="00A84CEE">
              <w:rPr>
                <w:rFonts w:ascii="Times New Roman" w:eastAsia="Times New Roman" w:hAnsi="Times New Roman"/>
                <w:color w:val="000000"/>
                <w:sz w:val="20"/>
                <w:szCs w:val="20"/>
                <w:lang w:val="en-IN" w:eastAsia="en-IN"/>
              </w:rPr>
              <w:t xml:space="preserve"> % of GSDP</w:t>
            </w:r>
          </w:p>
        </w:tc>
        <w:tc>
          <w:tcPr>
            <w:tcW w:w="2730" w:type="pct"/>
            <w:tcBorders>
              <w:top w:val="nil"/>
              <w:left w:val="nil"/>
              <w:bottom w:val="single" w:sz="4" w:space="0" w:color="auto"/>
              <w:right w:val="single" w:sz="4" w:space="0" w:color="auto"/>
            </w:tcBorders>
            <w:shd w:val="clear" w:color="auto" w:fill="auto"/>
            <w:noWrap/>
            <w:vAlign w:val="bottom"/>
            <w:hideMark/>
          </w:tcPr>
          <w:p w:rsidR="00C26C6A" w:rsidRPr="00A84CEE" w:rsidRDefault="001119DE" w:rsidP="00C62B2F">
            <w:pPr>
              <w:spacing w:before="120" w:after="0" w:line="240" w:lineRule="auto"/>
              <w:jc w:val="center"/>
              <w:rPr>
                <w:rFonts w:ascii="Times New Roman" w:eastAsia="Times New Roman" w:hAnsi="Times New Roman"/>
                <w:color w:val="000000"/>
                <w:sz w:val="20"/>
                <w:szCs w:val="20"/>
                <w:lang w:val="en-IN" w:eastAsia="en-IN"/>
              </w:rPr>
            </w:pPr>
            <w:r>
              <w:rPr>
                <w:rFonts w:ascii="Times New Roman" w:eastAsia="Times New Roman" w:hAnsi="Times New Roman"/>
                <w:color w:val="000000"/>
                <w:sz w:val="20"/>
                <w:szCs w:val="20"/>
                <w:lang w:val="en-IN" w:eastAsia="en-IN"/>
              </w:rPr>
              <w:t>Surplus</w:t>
            </w:r>
          </w:p>
        </w:tc>
        <w:tc>
          <w:tcPr>
            <w:tcW w:w="779" w:type="pct"/>
            <w:tcBorders>
              <w:top w:val="nil"/>
              <w:left w:val="nil"/>
              <w:bottom w:val="single" w:sz="4" w:space="0" w:color="auto"/>
              <w:right w:val="single" w:sz="4" w:space="0" w:color="auto"/>
            </w:tcBorders>
            <w:shd w:val="clear" w:color="auto" w:fill="auto"/>
            <w:noWrap/>
            <w:vAlign w:val="bottom"/>
            <w:hideMark/>
          </w:tcPr>
          <w:p w:rsidR="00C26C6A" w:rsidRPr="00A84CEE" w:rsidRDefault="001119DE" w:rsidP="001119DE">
            <w:pPr>
              <w:spacing w:before="120" w:after="0" w:line="240" w:lineRule="auto"/>
              <w:jc w:val="center"/>
              <w:rPr>
                <w:rFonts w:ascii="Times New Roman" w:eastAsia="Times New Roman" w:hAnsi="Times New Roman"/>
                <w:color w:val="000000"/>
                <w:sz w:val="20"/>
                <w:szCs w:val="20"/>
                <w:lang w:val="en-IN" w:eastAsia="en-IN"/>
              </w:rPr>
            </w:pPr>
            <w:r>
              <w:rPr>
                <w:rFonts w:ascii="Times New Roman" w:eastAsia="Times New Roman" w:hAnsi="Times New Roman"/>
                <w:color w:val="000000"/>
                <w:sz w:val="20"/>
                <w:szCs w:val="20"/>
                <w:lang w:val="en-IN" w:eastAsia="en-IN"/>
              </w:rPr>
              <w:t>-4.14</w:t>
            </w:r>
          </w:p>
        </w:tc>
      </w:tr>
      <w:tr w:rsidR="00346C0C" w:rsidRPr="00A84CEE" w:rsidTr="00C81AC4">
        <w:trPr>
          <w:trHeight w:val="64"/>
        </w:trPr>
        <w:tc>
          <w:tcPr>
            <w:tcW w:w="1491" w:type="pct"/>
            <w:tcBorders>
              <w:top w:val="nil"/>
              <w:left w:val="single" w:sz="4" w:space="0" w:color="auto"/>
              <w:bottom w:val="single" w:sz="4" w:space="0" w:color="auto"/>
              <w:right w:val="single" w:sz="4" w:space="0" w:color="auto"/>
            </w:tcBorders>
            <w:shd w:val="clear" w:color="auto" w:fill="auto"/>
            <w:vAlign w:val="bottom"/>
            <w:hideMark/>
          </w:tcPr>
          <w:p w:rsidR="00C26C6A" w:rsidRPr="00A84CEE" w:rsidRDefault="00C26C6A" w:rsidP="00C62B2F">
            <w:pPr>
              <w:spacing w:before="120" w:after="0" w:line="240" w:lineRule="auto"/>
              <w:rPr>
                <w:rFonts w:ascii="Times New Roman" w:eastAsia="Times New Roman" w:hAnsi="Times New Roman"/>
                <w:color w:val="000000"/>
                <w:sz w:val="20"/>
                <w:szCs w:val="20"/>
                <w:lang w:val="en-IN" w:eastAsia="en-IN"/>
              </w:rPr>
            </w:pPr>
            <w:r w:rsidRPr="00A84CEE">
              <w:rPr>
                <w:rFonts w:ascii="Times New Roman" w:eastAsia="Times New Roman" w:hAnsi="Times New Roman"/>
                <w:color w:val="000000"/>
                <w:sz w:val="20"/>
                <w:szCs w:val="20"/>
                <w:lang w:val="en-IN" w:eastAsia="en-IN"/>
              </w:rPr>
              <w:t>Fiscal Deficit % of GSDP</w:t>
            </w:r>
          </w:p>
        </w:tc>
        <w:tc>
          <w:tcPr>
            <w:tcW w:w="2730" w:type="pct"/>
            <w:tcBorders>
              <w:top w:val="nil"/>
              <w:left w:val="nil"/>
              <w:bottom w:val="single" w:sz="4" w:space="0" w:color="auto"/>
              <w:right w:val="single" w:sz="4" w:space="0" w:color="auto"/>
            </w:tcBorders>
            <w:shd w:val="clear" w:color="auto" w:fill="auto"/>
            <w:noWrap/>
            <w:vAlign w:val="bottom"/>
            <w:hideMark/>
          </w:tcPr>
          <w:p w:rsidR="00C26C6A" w:rsidRPr="00A84CEE" w:rsidRDefault="001119DE" w:rsidP="00C62B2F">
            <w:pPr>
              <w:spacing w:before="120" w:after="0" w:line="240" w:lineRule="auto"/>
              <w:jc w:val="center"/>
              <w:rPr>
                <w:rFonts w:ascii="Times New Roman" w:eastAsia="Times New Roman" w:hAnsi="Times New Roman"/>
                <w:color w:val="000000"/>
                <w:sz w:val="20"/>
                <w:szCs w:val="20"/>
                <w:lang w:val="en-IN" w:eastAsia="en-IN"/>
              </w:rPr>
            </w:pPr>
            <w:r>
              <w:rPr>
                <w:rFonts w:ascii="Times New Roman" w:eastAsia="Times New Roman" w:hAnsi="Times New Roman"/>
                <w:color w:val="000000"/>
                <w:sz w:val="20"/>
                <w:szCs w:val="20"/>
                <w:lang w:val="en-IN" w:eastAsia="en-IN"/>
              </w:rPr>
              <w:t>-4.26</w:t>
            </w:r>
          </w:p>
        </w:tc>
        <w:tc>
          <w:tcPr>
            <w:tcW w:w="779" w:type="pct"/>
            <w:tcBorders>
              <w:top w:val="nil"/>
              <w:left w:val="nil"/>
              <w:bottom w:val="single" w:sz="4" w:space="0" w:color="auto"/>
              <w:right w:val="single" w:sz="4" w:space="0" w:color="auto"/>
            </w:tcBorders>
            <w:shd w:val="clear" w:color="auto" w:fill="auto"/>
            <w:noWrap/>
            <w:vAlign w:val="bottom"/>
            <w:hideMark/>
          </w:tcPr>
          <w:p w:rsidR="00C26C6A" w:rsidRPr="00A84CEE" w:rsidRDefault="00C26C6A" w:rsidP="001119DE">
            <w:pPr>
              <w:spacing w:before="120" w:after="0" w:line="240" w:lineRule="auto"/>
              <w:jc w:val="center"/>
              <w:rPr>
                <w:rFonts w:ascii="Times New Roman" w:eastAsia="Times New Roman" w:hAnsi="Times New Roman"/>
                <w:color w:val="000000"/>
                <w:sz w:val="20"/>
                <w:szCs w:val="20"/>
                <w:lang w:val="en-IN" w:eastAsia="en-IN"/>
              </w:rPr>
            </w:pPr>
            <w:r>
              <w:rPr>
                <w:rFonts w:ascii="Times New Roman" w:eastAsia="Times New Roman" w:hAnsi="Times New Roman"/>
                <w:color w:val="000000"/>
                <w:sz w:val="20"/>
                <w:szCs w:val="20"/>
                <w:lang w:val="en-IN" w:eastAsia="en-IN"/>
              </w:rPr>
              <w:t>-</w:t>
            </w:r>
            <w:r w:rsidR="001119DE">
              <w:rPr>
                <w:rFonts w:ascii="Times New Roman" w:eastAsia="Times New Roman" w:hAnsi="Times New Roman"/>
                <w:color w:val="000000"/>
                <w:sz w:val="20"/>
                <w:szCs w:val="20"/>
                <w:lang w:val="en-IN" w:eastAsia="en-IN"/>
              </w:rPr>
              <w:t>6.41</w:t>
            </w:r>
          </w:p>
        </w:tc>
      </w:tr>
      <w:tr w:rsidR="00346C0C" w:rsidRPr="00A84CEE" w:rsidTr="00C81AC4">
        <w:trPr>
          <w:trHeight w:val="64"/>
        </w:trPr>
        <w:tc>
          <w:tcPr>
            <w:tcW w:w="1491" w:type="pct"/>
            <w:tcBorders>
              <w:top w:val="nil"/>
              <w:left w:val="single" w:sz="4" w:space="0" w:color="auto"/>
              <w:bottom w:val="single" w:sz="4" w:space="0" w:color="auto"/>
              <w:right w:val="single" w:sz="4" w:space="0" w:color="auto"/>
            </w:tcBorders>
            <w:shd w:val="clear" w:color="auto" w:fill="auto"/>
            <w:vAlign w:val="bottom"/>
            <w:hideMark/>
          </w:tcPr>
          <w:p w:rsidR="00C26C6A" w:rsidRPr="00A84CEE" w:rsidRDefault="00C26C6A" w:rsidP="00C62B2F">
            <w:pPr>
              <w:spacing w:before="120" w:after="0" w:line="240" w:lineRule="auto"/>
              <w:rPr>
                <w:rFonts w:ascii="Times New Roman" w:eastAsia="Times New Roman" w:hAnsi="Times New Roman"/>
                <w:color w:val="000000"/>
                <w:sz w:val="20"/>
                <w:szCs w:val="20"/>
                <w:lang w:val="en-IN" w:eastAsia="en-IN"/>
              </w:rPr>
            </w:pPr>
            <w:r w:rsidRPr="00A84CEE">
              <w:rPr>
                <w:rFonts w:ascii="Times New Roman" w:eastAsia="Times New Roman" w:hAnsi="Times New Roman"/>
                <w:color w:val="000000"/>
                <w:sz w:val="20"/>
                <w:szCs w:val="20"/>
                <w:lang w:val="en-IN" w:eastAsia="en-IN"/>
              </w:rPr>
              <w:t xml:space="preserve">Total Debt Stock % of GSDP </w:t>
            </w:r>
          </w:p>
        </w:tc>
        <w:tc>
          <w:tcPr>
            <w:tcW w:w="2730" w:type="pct"/>
            <w:tcBorders>
              <w:top w:val="nil"/>
              <w:left w:val="nil"/>
              <w:bottom w:val="single" w:sz="4" w:space="0" w:color="auto"/>
              <w:right w:val="single" w:sz="4" w:space="0" w:color="auto"/>
            </w:tcBorders>
            <w:shd w:val="clear" w:color="auto" w:fill="auto"/>
            <w:noWrap/>
            <w:vAlign w:val="bottom"/>
            <w:hideMark/>
          </w:tcPr>
          <w:p w:rsidR="00346C0C" w:rsidRDefault="00346C0C" w:rsidP="00C62B2F">
            <w:pPr>
              <w:spacing w:before="120" w:after="0" w:line="240" w:lineRule="auto"/>
              <w:jc w:val="center"/>
              <w:rPr>
                <w:rFonts w:ascii="Times New Roman" w:eastAsia="Times New Roman" w:hAnsi="Times New Roman"/>
                <w:color w:val="000000"/>
                <w:sz w:val="20"/>
                <w:szCs w:val="20"/>
                <w:lang w:val="en-IN" w:eastAsia="en-IN"/>
              </w:rPr>
            </w:pPr>
            <w:r>
              <w:rPr>
                <w:rFonts w:ascii="Times New Roman" w:eastAsia="Times New Roman" w:hAnsi="Times New Roman"/>
                <w:color w:val="000000"/>
                <w:sz w:val="20"/>
                <w:szCs w:val="20"/>
                <w:lang w:val="en-IN" w:eastAsia="en-IN"/>
              </w:rPr>
              <w:t>19.04 – FRBM Act Target</w:t>
            </w:r>
          </w:p>
          <w:p w:rsidR="00C26C6A" w:rsidRPr="00A84CEE" w:rsidRDefault="00C26C6A" w:rsidP="00C62B2F">
            <w:pPr>
              <w:spacing w:before="120" w:after="0" w:line="240" w:lineRule="auto"/>
              <w:jc w:val="center"/>
              <w:rPr>
                <w:rFonts w:ascii="Times New Roman" w:eastAsia="Times New Roman" w:hAnsi="Times New Roman"/>
                <w:color w:val="000000"/>
                <w:sz w:val="20"/>
                <w:szCs w:val="20"/>
                <w:lang w:val="en-IN" w:eastAsia="en-IN"/>
              </w:rPr>
            </w:pPr>
            <w:r>
              <w:rPr>
                <w:rFonts w:ascii="Times New Roman" w:eastAsia="Times New Roman" w:hAnsi="Times New Roman"/>
                <w:color w:val="000000"/>
                <w:sz w:val="20"/>
                <w:szCs w:val="20"/>
                <w:lang w:val="en-IN" w:eastAsia="en-IN"/>
              </w:rPr>
              <w:t>25</w:t>
            </w:r>
            <w:r w:rsidR="00346C0C">
              <w:rPr>
                <w:rFonts w:ascii="Times New Roman" w:eastAsia="Times New Roman" w:hAnsi="Times New Roman"/>
                <w:color w:val="000000"/>
                <w:sz w:val="20"/>
                <w:szCs w:val="20"/>
                <w:lang w:val="en-IN" w:eastAsia="en-IN"/>
              </w:rPr>
              <w:t xml:space="preserve"> – FCXIV condition for prudency in fiscal management</w:t>
            </w:r>
          </w:p>
        </w:tc>
        <w:tc>
          <w:tcPr>
            <w:tcW w:w="779" w:type="pct"/>
            <w:tcBorders>
              <w:top w:val="nil"/>
              <w:left w:val="nil"/>
              <w:bottom w:val="single" w:sz="4" w:space="0" w:color="auto"/>
              <w:right w:val="single" w:sz="4" w:space="0" w:color="auto"/>
            </w:tcBorders>
            <w:shd w:val="clear" w:color="auto" w:fill="auto"/>
            <w:noWrap/>
            <w:vAlign w:val="bottom"/>
            <w:hideMark/>
          </w:tcPr>
          <w:p w:rsidR="00C26C6A" w:rsidRPr="00A84CEE" w:rsidRDefault="001119DE" w:rsidP="00C62B2F">
            <w:pPr>
              <w:spacing w:before="120" w:after="0" w:line="240" w:lineRule="auto"/>
              <w:jc w:val="center"/>
              <w:rPr>
                <w:rFonts w:ascii="Times New Roman" w:eastAsia="Times New Roman" w:hAnsi="Times New Roman"/>
                <w:color w:val="000000"/>
                <w:sz w:val="20"/>
                <w:szCs w:val="20"/>
                <w:lang w:val="en-IN" w:eastAsia="en-IN"/>
              </w:rPr>
            </w:pPr>
            <w:r>
              <w:rPr>
                <w:rFonts w:ascii="Times New Roman" w:eastAsia="Times New Roman" w:hAnsi="Times New Roman"/>
                <w:color w:val="000000"/>
                <w:sz w:val="20"/>
                <w:szCs w:val="20"/>
                <w:lang w:val="en-IN" w:eastAsia="en-IN"/>
              </w:rPr>
              <w:t>22.80</w:t>
            </w:r>
          </w:p>
        </w:tc>
      </w:tr>
      <w:tr w:rsidR="00346C0C" w:rsidRPr="00A84CEE" w:rsidTr="00C81AC4">
        <w:trPr>
          <w:trHeight w:val="75"/>
        </w:trPr>
        <w:tc>
          <w:tcPr>
            <w:tcW w:w="1491" w:type="pct"/>
            <w:tcBorders>
              <w:top w:val="nil"/>
              <w:left w:val="single" w:sz="4" w:space="0" w:color="auto"/>
              <w:bottom w:val="single" w:sz="4" w:space="0" w:color="auto"/>
              <w:right w:val="single" w:sz="4" w:space="0" w:color="auto"/>
            </w:tcBorders>
            <w:shd w:val="clear" w:color="auto" w:fill="auto"/>
            <w:vAlign w:val="bottom"/>
            <w:hideMark/>
          </w:tcPr>
          <w:p w:rsidR="00C26C6A" w:rsidRPr="00A84CEE" w:rsidRDefault="00C26C6A" w:rsidP="00C62B2F">
            <w:pPr>
              <w:spacing w:before="120" w:after="0" w:line="240" w:lineRule="auto"/>
              <w:rPr>
                <w:rFonts w:ascii="Times New Roman" w:eastAsia="Times New Roman" w:hAnsi="Times New Roman"/>
                <w:color w:val="000000"/>
                <w:sz w:val="20"/>
                <w:szCs w:val="20"/>
                <w:lang w:val="en-IN" w:eastAsia="en-IN"/>
              </w:rPr>
            </w:pPr>
            <w:r w:rsidRPr="00A84CEE">
              <w:rPr>
                <w:rFonts w:ascii="Times New Roman" w:eastAsia="Times New Roman" w:hAnsi="Times New Roman"/>
                <w:color w:val="000000"/>
                <w:sz w:val="20"/>
                <w:szCs w:val="20"/>
                <w:lang w:val="en-IN" w:eastAsia="en-IN"/>
              </w:rPr>
              <w:t>Outstanding Guarantee</w:t>
            </w:r>
            <w:r>
              <w:rPr>
                <w:rFonts w:ascii="Times New Roman" w:eastAsia="Times New Roman" w:hAnsi="Times New Roman"/>
                <w:color w:val="000000"/>
                <w:sz w:val="20"/>
                <w:szCs w:val="20"/>
                <w:lang w:val="en-IN" w:eastAsia="en-IN"/>
              </w:rPr>
              <w:t>s</w:t>
            </w:r>
          </w:p>
        </w:tc>
        <w:tc>
          <w:tcPr>
            <w:tcW w:w="3509" w:type="pct"/>
            <w:gridSpan w:val="2"/>
            <w:tcBorders>
              <w:top w:val="single" w:sz="4" w:space="0" w:color="auto"/>
              <w:left w:val="nil"/>
              <w:bottom w:val="single" w:sz="4" w:space="0" w:color="auto"/>
              <w:right w:val="single" w:sz="4" w:space="0" w:color="000000"/>
            </w:tcBorders>
            <w:shd w:val="clear" w:color="auto" w:fill="auto"/>
            <w:vAlign w:val="bottom"/>
            <w:hideMark/>
          </w:tcPr>
          <w:p w:rsidR="00C26C6A" w:rsidRPr="00A84CEE" w:rsidRDefault="00C26C6A" w:rsidP="00C62B2F">
            <w:pPr>
              <w:spacing w:before="120" w:after="0" w:line="240" w:lineRule="auto"/>
              <w:jc w:val="center"/>
              <w:rPr>
                <w:rFonts w:ascii="Times New Roman" w:eastAsia="Times New Roman" w:hAnsi="Times New Roman"/>
                <w:color w:val="000000"/>
                <w:sz w:val="20"/>
                <w:szCs w:val="20"/>
                <w:lang w:val="en-IN" w:eastAsia="en-IN"/>
              </w:rPr>
            </w:pPr>
            <w:r w:rsidRPr="00A84CEE">
              <w:rPr>
                <w:rFonts w:ascii="Times New Roman" w:eastAsia="Times New Roman" w:hAnsi="Times New Roman"/>
                <w:color w:val="000000"/>
                <w:sz w:val="20"/>
                <w:szCs w:val="20"/>
                <w:lang w:val="en-IN" w:eastAsia="en-IN"/>
              </w:rPr>
              <w:t>Restricted to the  limit under the Sikkim Ceiling on Government Guarantees Act, 2000</w:t>
            </w:r>
          </w:p>
        </w:tc>
      </w:tr>
    </w:tbl>
    <w:p w:rsidR="00C26C6A" w:rsidRDefault="00C26C6A" w:rsidP="009E43DE">
      <w:pPr>
        <w:spacing w:line="360" w:lineRule="auto"/>
        <w:jc w:val="both"/>
        <w:rPr>
          <w:rFonts w:ascii="Times New Roman" w:hAnsi="Times New Roman"/>
          <w:sz w:val="24"/>
          <w:szCs w:val="24"/>
        </w:rPr>
      </w:pPr>
    </w:p>
    <w:p w:rsidR="00346C0C" w:rsidRDefault="008357A9" w:rsidP="008357A9">
      <w:pPr>
        <w:pStyle w:val="ListParagraph"/>
        <w:numPr>
          <w:ilvl w:val="0"/>
          <w:numId w:val="8"/>
        </w:numPr>
        <w:spacing w:line="360" w:lineRule="auto"/>
        <w:jc w:val="both"/>
        <w:rPr>
          <w:rFonts w:ascii="Times New Roman" w:hAnsi="Times New Roman"/>
          <w:sz w:val="24"/>
          <w:szCs w:val="24"/>
        </w:rPr>
      </w:pPr>
      <w:r w:rsidRPr="00C046A2">
        <w:rPr>
          <w:rFonts w:ascii="Times New Roman" w:hAnsi="Times New Roman"/>
          <w:b/>
          <w:sz w:val="24"/>
          <w:szCs w:val="24"/>
        </w:rPr>
        <w:t>Fiscal Deficit:</w:t>
      </w:r>
      <w:r>
        <w:rPr>
          <w:rFonts w:ascii="Times New Roman" w:hAnsi="Times New Roman"/>
          <w:sz w:val="24"/>
          <w:szCs w:val="24"/>
        </w:rPr>
        <w:t xml:space="preserve"> The target for 2019-20 was revised upwards to 4.26 percent of GSDP by including the flexibility of 0.5 percent allowed by FC</w:t>
      </w:r>
      <w:r w:rsidR="00C81AC4">
        <w:rPr>
          <w:rFonts w:ascii="Times New Roman" w:hAnsi="Times New Roman"/>
          <w:sz w:val="24"/>
          <w:szCs w:val="24"/>
        </w:rPr>
        <w:t>-</w:t>
      </w:r>
      <w:r>
        <w:rPr>
          <w:rFonts w:ascii="Times New Roman" w:hAnsi="Times New Roman"/>
          <w:sz w:val="24"/>
          <w:szCs w:val="24"/>
        </w:rPr>
        <w:t xml:space="preserve">XIV and one time borrowing facility of Rs.216 crores allowed by the central government to give relief on account </w:t>
      </w:r>
      <w:r w:rsidR="00346C0C">
        <w:rPr>
          <w:rFonts w:ascii="Times New Roman" w:hAnsi="Times New Roman"/>
          <w:sz w:val="24"/>
          <w:szCs w:val="24"/>
        </w:rPr>
        <w:t xml:space="preserve">of </w:t>
      </w:r>
      <w:r>
        <w:rPr>
          <w:rFonts w:ascii="Times New Roman" w:hAnsi="Times New Roman"/>
          <w:sz w:val="24"/>
          <w:szCs w:val="24"/>
        </w:rPr>
        <w:t xml:space="preserve">lower tax devolution in 2019-20. The fiscal deficit, however, </w:t>
      </w:r>
      <w:r w:rsidR="00346C0C">
        <w:rPr>
          <w:rFonts w:ascii="Times New Roman" w:hAnsi="Times New Roman"/>
          <w:sz w:val="24"/>
          <w:szCs w:val="24"/>
        </w:rPr>
        <w:t>increased by large amount to 6.41 percent of GSDP.  As pointed out earlier, large deterioration in revenue receipts and not containing revenue expenditure adequately in response to lower revenue receipts resulted in large fiscal deficit.</w:t>
      </w:r>
    </w:p>
    <w:p w:rsidR="00C26C6A" w:rsidRDefault="00346C0C" w:rsidP="00C62B2F">
      <w:pPr>
        <w:pStyle w:val="ListParagraph"/>
        <w:numPr>
          <w:ilvl w:val="0"/>
          <w:numId w:val="8"/>
        </w:numPr>
        <w:spacing w:line="360" w:lineRule="auto"/>
        <w:jc w:val="both"/>
        <w:rPr>
          <w:rFonts w:ascii="Times New Roman" w:hAnsi="Times New Roman"/>
          <w:sz w:val="24"/>
          <w:szCs w:val="24"/>
        </w:rPr>
      </w:pPr>
      <w:r w:rsidRPr="004E35C3">
        <w:rPr>
          <w:rFonts w:ascii="Times New Roman" w:hAnsi="Times New Roman"/>
          <w:b/>
          <w:sz w:val="24"/>
          <w:szCs w:val="24"/>
        </w:rPr>
        <w:t>Outstanding Debt</w:t>
      </w:r>
      <w:r w:rsidR="00C046A2" w:rsidRPr="004E35C3">
        <w:rPr>
          <w:rFonts w:ascii="Times New Roman" w:hAnsi="Times New Roman"/>
          <w:b/>
          <w:sz w:val="24"/>
          <w:szCs w:val="24"/>
        </w:rPr>
        <w:t>-GSDP Ratio</w:t>
      </w:r>
      <w:r w:rsidRPr="004E35C3">
        <w:rPr>
          <w:rFonts w:ascii="Times New Roman" w:hAnsi="Times New Roman"/>
          <w:b/>
          <w:sz w:val="24"/>
          <w:szCs w:val="24"/>
        </w:rPr>
        <w:t xml:space="preserve">: </w:t>
      </w:r>
      <w:r w:rsidR="00C046A2" w:rsidRPr="004E35C3">
        <w:rPr>
          <w:rFonts w:ascii="Times New Roman" w:hAnsi="Times New Roman"/>
          <w:sz w:val="24"/>
          <w:szCs w:val="24"/>
        </w:rPr>
        <w:t xml:space="preserve">There are two benchmarks to assess outstanding debt burden of the state as percent to GSDP. </w:t>
      </w:r>
      <w:r w:rsidR="004E35C3" w:rsidRPr="004E35C3">
        <w:rPr>
          <w:rFonts w:ascii="Times New Roman" w:hAnsi="Times New Roman"/>
          <w:sz w:val="24"/>
          <w:szCs w:val="24"/>
        </w:rPr>
        <w:t>Strictly a</w:t>
      </w:r>
      <w:r w:rsidR="00C046A2" w:rsidRPr="004E35C3">
        <w:rPr>
          <w:rFonts w:ascii="Times New Roman" w:hAnsi="Times New Roman"/>
          <w:sz w:val="24"/>
          <w:szCs w:val="24"/>
        </w:rPr>
        <w:t>ccordin</w:t>
      </w:r>
      <w:r w:rsidR="004E35C3" w:rsidRPr="004E35C3">
        <w:rPr>
          <w:rFonts w:ascii="Times New Roman" w:hAnsi="Times New Roman"/>
          <w:sz w:val="24"/>
          <w:szCs w:val="24"/>
        </w:rPr>
        <w:t>g to the FRBM Act provisions, the outstanding debt-GSDP ratio of 22.80 percent exceeds the target of 19.04 percent in 2019-20. However, as discussed earlier targeting this level debt-GSDP ratio in the context of award period of FC</w:t>
      </w:r>
      <w:r w:rsidR="00520A0B">
        <w:rPr>
          <w:rFonts w:ascii="Times New Roman" w:hAnsi="Times New Roman"/>
          <w:sz w:val="24"/>
          <w:szCs w:val="24"/>
        </w:rPr>
        <w:t>-</w:t>
      </w:r>
      <w:r w:rsidR="004E35C3" w:rsidRPr="004E35C3">
        <w:rPr>
          <w:rFonts w:ascii="Times New Roman" w:hAnsi="Times New Roman"/>
          <w:sz w:val="24"/>
          <w:szCs w:val="24"/>
        </w:rPr>
        <w:t>XIV is severely restricting. Thus, a target of 25 percent, which the FC</w:t>
      </w:r>
      <w:r w:rsidR="00520A0B">
        <w:rPr>
          <w:rFonts w:ascii="Times New Roman" w:hAnsi="Times New Roman"/>
          <w:sz w:val="24"/>
          <w:szCs w:val="24"/>
        </w:rPr>
        <w:t>-</w:t>
      </w:r>
      <w:r w:rsidR="004E35C3" w:rsidRPr="004E35C3">
        <w:rPr>
          <w:rFonts w:ascii="Times New Roman" w:hAnsi="Times New Roman"/>
          <w:sz w:val="24"/>
          <w:szCs w:val="24"/>
        </w:rPr>
        <w:t xml:space="preserve">XIV held as prudent to allow the state the flexibility of enhancing fiscal deficit </w:t>
      </w:r>
      <w:r w:rsidR="004E35C3">
        <w:rPr>
          <w:rFonts w:ascii="Times New Roman" w:hAnsi="Times New Roman"/>
          <w:sz w:val="24"/>
          <w:szCs w:val="24"/>
        </w:rPr>
        <w:t>is a much better benchmark to compare with. If we go by this, then the outstanding debt as percent to GSDP has remained within the limit.</w:t>
      </w:r>
    </w:p>
    <w:p w:rsidR="00987C7F" w:rsidRPr="00206854" w:rsidRDefault="00987C7F" w:rsidP="001B0CA7">
      <w:pPr>
        <w:pStyle w:val="ListParagraph"/>
        <w:numPr>
          <w:ilvl w:val="0"/>
          <w:numId w:val="8"/>
        </w:numPr>
        <w:spacing w:line="360" w:lineRule="auto"/>
        <w:jc w:val="both"/>
        <w:rPr>
          <w:rFonts w:ascii="Times New Roman" w:hAnsi="Times New Roman"/>
          <w:sz w:val="24"/>
          <w:szCs w:val="24"/>
        </w:rPr>
      </w:pPr>
      <w:r w:rsidRPr="00206854">
        <w:rPr>
          <w:rFonts w:ascii="Times New Roman" w:hAnsi="Times New Roman"/>
          <w:b/>
          <w:sz w:val="24"/>
          <w:szCs w:val="24"/>
        </w:rPr>
        <w:t>Outstanding Guarantees:</w:t>
      </w:r>
      <w:r w:rsidRPr="00206854">
        <w:rPr>
          <w:rFonts w:ascii="Times New Roman" w:hAnsi="Times New Roman"/>
          <w:sz w:val="24"/>
          <w:szCs w:val="24"/>
        </w:rPr>
        <w:t xml:space="preserve"> Guarantees are contingent liabilities on the Consolidated Fund of the </w:t>
      </w:r>
      <w:r w:rsidR="00520A0B">
        <w:rPr>
          <w:rFonts w:ascii="Times New Roman" w:hAnsi="Times New Roman"/>
          <w:sz w:val="24"/>
          <w:szCs w:val="24"/>
        </w:rPr>
        <w:t>s</w:t>
      </w:r>
      <w:r w:rsidRPr="00206854">
        <w:rPr>
          <w:rFonts w:ascii="Times New Roman" w:hAnsi="Times New Roman"/>
          <w:sz w:val="24"/>
          <w:szCs w:val="24"/>
        </w:rPr>
        <w:t>tate in case of default by the borrower for whom the guarantees are extended. The Sikkim Government Guarantees Act, 2000, stipulates that the total outstanding Government guarantee as on the 1st day of April of any year shall not exceed thrice the State’s Tax receipts of the second preceding year. Thus, t</w:t>
      </w:r>
      <w:r w:rsidR="00254144">
        <w:rPr>
          <w:rFonts w:ascii="Times New Roman" w:hAnsi="Times New Roman"/>
          <w:sz w:val="24"/>
          <w:szCs w:val="24"/>
        </w:rPr>
        <w:t>he outstanding guarantees in 201</w:t>
      </w:r>
      <w:r w:rsidRPr="00206854">
        <w:rPr>
          <w:rFonts w:ascii="Times New Roman" w:hAnsi="Times New Roman"/>
          <w:sz w:val="24"/>
          <w:szCs w:val="24"/>
        </w:rPr>
        <w:t>9-20 should be compared with three-times the tax receipts of the state in the year 2017-18. The outstanding guarantee in 2019-20</w:t>
      </w:r>
      <w:r w:rsidR="00206854" w:rsidRPr="00206854">
        <w:rPr>
          <w:rFonts w:ascii="Times New Roman" w:hAnsi="Times New Roman"/>
          <w:sz w:val="24"/>
          <w:szCs w:val="24"/>
        </w:rPr>
        <w:t>,</w:t>
      </w:r>
      <w:r w:rsidRPr="00206854">
        <w:rPr>
          <w:rFonts w:ascii="Times New Roman" w:hAnsi="Times New Roman"/>
          <w:sz w:val="24"/>
          <w:szCs w:val="24"/>
        </w:rPr>
        <w:t xml:space="preserve"> according to the Finance accounts of the state</w:t>
      </w:r>
      <w:r w:rsidR="00206854" w:rsidRPr="00206854">
        <w:rPr>
          <w:rFonts w:ascii="Times New Roman" w:hAnsi="Times New Roman"/>
          <w:sz w:val="24"/>
          <w:szCs w:val="24"/>
        </w:rPr>
        <w:t>,</w:t>
      </w:r>
      <w:r w:rsidRPr="00206854">
        <w:rPr>
          <w:rFonts w:ascii="Times New Roman" w:hAnsi="Times New Roman"/>
          <w:sz w:val="24"/>
          <w:szCs w:val="24"/>
        </w:rPr>
        <w:t xml:space="preserve"> st</w:t>
      </w:r>
      <w:r w:rsidR="00206854" w:rsidRPr="00206854">
        <w:rPr>
          <w:rFonts w:ascii="Times New Roman" w:hAnsi="Times New Roman"/>
          <w:sz w:val="24"/>
          <w:szCs w:val="24"/>
        </w:rPr>
        <w:t xml:space="preserve">ood </w:t>
      </w:r>
      <w:r w:rsidRPr="00206854">
        <w:rPr>
          <w:rFonts w:ascii="Times New Roman" w:hAnsi="Times New Roman"/>
          <w:sz w:val="24"/>
          <w:szCs w:val="24"/>
        </w:rPr>
        <w:t>at Rs.3543.53 crores and interest on this was Rs</w:t>
      </w:r>
      <w:r w:rsidR="00520A0B">
        <w:rPr>
          <w:rFonts w:ascii="Times New Roman" w:hAnsi="Times New Roman"/>
          <w:sz w:val="24"/>
          <w:szCs w:val="24"/>
        </w:rPr>
        <w:t>.</w:t>
      </w:r>
      <w:r w:rsidRPr="00206854">
        <w:rPr>
          <w:rFonts w:ascii="Times New Roman" w:hAnsi="Times New Roman"/>
          <w:sz w:val="24"/>
          <w:szCs w:val="24"/>
        </w:rPr>
        <w:t xml:space="preserve">205.79 crores. This has remained below the permissible level following the stipulation of </w:t>
      </w:r>
      <w:r w:rsidR="00206854" w:rsidRPr="00206854">
        <w:rPr>
          <w:rFonts w:ascii="Times New Roman" w:hAnsi="Times New Roman"/>
          <w:sz w:val="24"/>
          <w:szCs w:val="24"/>
        </w:rPr>
        <w:t xml:space="preserve">the </w:t>
      </w:r>
      <w:r w:rsidRPr="00206854">
        <w:rPr>
          <w:rFonts w:ascii="Times New Roman" w:hAnsi="Times New Roman"/>
          <w:sz w:val="24"/>
          <w:szCs w:val="24"/>
        </w:rPr>
        <w:t xml:space="preserve">guarantee Act. Outstanding </w:t>
      </w:r>
      <w:r w:rsidRPr="00206854">
        <w:rPr>
          <w:rFonts w:ascii="Times New Roman" w:hAnsi="Times New Roman"/>
          <w:sz w:val="24"/>
          <w:szCs w:val="24"/>
        </w:rPr>
        <w:lastRenderedPageBreak/>
        <w:t xml:space="preserve">guarantees, however, has </w:t>
      </w:r>
      <w:r w:rsidR="00206854" w:rsidRPr="00206854">
        <w:rPr>
          <w:rFonts w:ascii="Times New Roman" w:hAnsi="Times New Roman"/>
          <w:sz w:val="24"/>
          <w:szCs w:val="24"/>
        </w:rPr>
        <w:t xml:space="preserve">increased </w:t>
      </w:r>
      <w:r w:rsidR="00206854">
        <w:rPr>
          <w:rFonts w:ascii="Times New Roman" w:hAnsi="Times New Roman"/>
          <w:sz w:val="24"/>
          <w:szCs w:val="24"/>
        </w:rPr>
        <w:t xml:space="preserve">significantly. </w:t>
      </w:r>
      <w:r w:rsidRPr="00206854">
        <w:rPr>
          <w:rFonts w:ascii="Times New Roman" w:hAnsi="Times New Roman"/>
          <w:sz w:val="24"/>
          <w:szCs w:val="24"/>
        </w:rPr>
        <w:t>It needs to be pointed out here among the guarantees listed in the Finance Account the largest is the guarantees of Rs.2688.44 crores given to SPICL</w:t>
      </w:r>
      <w:r w:rsidR="00153673">
        <w:rPr>
          <w:rFonts w:ascii="Times New Roman" w:hAnsi="Times New Roman"/>
          <w:sz w:val="24"/>
          <w:szCs w:val="24"/>
        </w:rPr>
        <w:t xml:space="preserve"> </w:t>
      </w:r>
      <w:r w:rsidRPr="00206854">
        <w:rPr>
          <w:rFonts w:ascii="Times New Roman" w:hAnsi="Times New Roman"/>
          <w:sz w:val="24"/>
          <w:szCs w:val="24"/>
        </w:rPr>
        <w:t xml:space="preserve">(TEESTA URJA LTD) Stage III. </w:t>
      </w:r>
    </w:p>
    <w:p w:rsidR="00971BE0" w:rsidRPr="00987C7F" w:rsidRDefault="00971BE0" w:rsidP="008679F3">
      <w:pPr>
        <w:pStyle w:val="ListParagraph"/>
        <w:spacing w:after="0"/>
        <w:ind w:left="0"/>
        <w:rPr>
          <w:rFonts w:ascii="Times New Roman" w:eastAsia="Times New Roman" w:hAnsi="Times New Roman"/>
          <w:sz w:val="24"/>
          <w:szCs w:val="24"/>
        </w:rPr>
      </w:pPr>
    </w:p>
    <w:p w:rsidR="00A932E3" w:rsidRDefault="00121AC0" w:rsidP="00851B09">
      <w:pPr>
        <w:pStyle w:val="ListParagraph"/>
        <w:spacing w:after="0" w:line="360" w:lineRule="auto"/>
        <w:ind w:left="0"/>
        <w:jc w:val="both"/>
        <w:rPr>
          <w:rFonts w:ascii="Times New Roman" w:eastAsia="Times New Roman" w:hAnsi="Times New Roman"/>
          <w:sz w:val="24"/>
          <w:szCs w:val="24"/>
        </w:rPr>
      </w:pPr>
      <w:r w:rsidRPr="00121AC0">
        <w:rPr>
          <w:rFonts w:ascii="Times New Roman" w:eastAsia="Times New Roman" w:hAnsi="Times New Roman"/>
          <w:sz w:val="24"/>
          <w:szCs w:val="24"/>
        </w:rPr>
        <w:t>Financing of fiscal deficit</w:t>
      </w:r>
      <w:r w:rsidR="00851B09">
        <w:rPr>
          <w:rFonts w:ascii="Times New Roman" w:eastAsia="Times New Roman" w:hAnsi="Times New Roman"/>
          <w:sz w:val="24"/>
          <w:szCs w:val="24"/>
        </w:rPr>
        <w:t xml:space="preserve"> </w:t>
      </w:r>
      <w:r w:rsidR="00153673">
        <w:rPr>
          <w:rFonts w:ascii="Times New Roman" w:eastAsia="Times New Roman" w:hAnsi="Times New Roman"/>
          <w:sz w:val="24"/>
          <w:szCs w:val="24"/>
        </w:rPr>
        <w:t xml:space="preserve">in </w:t>
      </w:r>
      <w:r w:rsidR="00851B09">
        <w:rPr>
          <w:rFonts w:ascii="Times New Roman" w:eastAsia="Times New Roman" w:hAnsi="Times New Roman"/>
          <w:sz w:val="24"/>
          <w:szCs w:val="24"/>
        </w:rPr>
        <w:t xml:space="preserve">the </w:t>
      </w:r>
      <w:r w:rsidR="00153673">
        <w:rPr>
          <w:rFonts w:ascii="Times New Roman" w:eastAsia="Times New Roman" w:hAnsi="Times New Roman"/>
          <w:sz w:val="24"/>
          <w:szCs w:val="24"/>
        </w:rPr>
        <w:t xml:space="preserve">fiscal </w:t>
      </w:r>
      <w:r w:rsidR="00851B09">
        <w:rPr>
          <w:rFonts w:ascii="Times New Roman" w:eastAsia="Times New Roman" w:hAnsi="Times New Roman"/>
          <w:sz w:val="24"/>
          <w:szCs w:val="24"/>
        </w:rPr>
        <w:t>year 2019-20 shows that the net market borrowing of the state government was limited to Rs.432 crores (Table 4.2). The major financing items have come from net public accounts. The suspense and miscellaneous was the largest financing item amounting to Rs.1392.35 crores</w:t>
      </w:r>
      <w:r w:rsidR="00153673">
        <w:rPr>
          <w:rFonts w:ascii="Times New Roman" w:eastAsia="Times New Roman" w:hAnsi="Times New Roman"/>
          <w:sz w:val="24"/>
          <w:szCs w:val="24"/>
        </w:rPr>
        <w:t>. O</w:t>
      </w:r>
      <w:r w:rsidR="00851B09">
        <w:rPr>
          <w:rFonts w:ascii="Times New Roman" w:eastAsia="Times New Roman" w:hAnsi="Times New Roman"/>
          <w:sz w:val="24"/>
          <w:szCs w:val="24"/>
        </w:rPr>
        <w:t xml:space="preserve">ther big financing items was the reserve fund. The suspense and miscellaneous include all the cash investments by the state governments in various financial instruments, which was used to finance the deficit. While, fiscal deficit has increased significantly in 2019-20, the outstanding debt did not rise to that extent because of using public account funds financing fiscal deficit. </w:t>
      </w:r>
    </w:p>
    <w:p w:rsidR="00851B09" w:rsidRDefault="00851B09" w:rsidP="008679F3">
      <w:pPr>
        <w:pStyle w:val="ListParagraph"/>
        <w:spacing w:after="0"/>
        <w:ind w:left="0"/>
        <w:rPr>
          <w:rFonts w:ascii="Times New Roman" w:eastAsia="Times New Roman" w:hAnsi="Times New Roman"/>
          <w:sz w:val="24"/>
          <w:szCs w:val="24"/>
        </w:rPr>
      </w:pPr>
    </w:p>
    <w:p w:rsidR="00A932E3" w:rsidRPr="00B04E25" w:rsidRDefault="00B04E25" w:rsidP="00B04E25">
      <w:pPr>
        <w:pStyle w:val="ListParagraph"/>
        <w:spacing w:after="0"/>
        <w:ind w:left="0"/>
        <w:jc w:val="center"/>
        <w:rPr>
          <w:rFonts w:ascii="Times New Roman" w:eastAsia="Times New Roman" w:hAnsi="Times New Roman"/>
          <w:b/>
        </w:rPr>
      </w:pPr>
      <w:r w:rsidRPr="00B04E25">
        <w:rPr>
          <w:rFonts w:ascii="Times New Roman" w:eastAsia="Times New Roman" w:hAnsi="Times New Roman"/>
          <w:b/>
        </w:rPr>
        <w:t>Table 4.2</w:t>
      </w:r>
      <w:r w:rsidR="00963272">
        <w:rPr>
          <w:rFonts w:ascii="Times New Roman" w:eastAsia="Times New Roman" w:hAnsi="Times New Roman"/>
          <w:b/>
        </w:rPr>
        <w:t xml:space="preserve">: </w:t>
      </w:r>
      <w:r w:rsidRPr="00B04E25">
        <w:rPr>
          <w:rFonts w:ascii="Times New Roman" w:eastAsia="Times New Roman" w:hAnsi="Times New Roman"/>
          <w:b/>
        </w:rPr>
        <w:t>Financing Fiscal Deficit</w:t>
      </w:r>
    </w:p>
    <w:p w:rsidR="00B04E25" w:rsidRPr="00963272" w:rsidRDefault="00963272" w:rsidP="00B04E25">
      <w:pPr>
        <w:pStyle w:val="ListParagraph"/>
        <w:spacing w:after="0"/>
        <w:ind w:left="0"/>
        <w:jc w:val="right"/>
        <w:rPr>
          <w:rFonts w:ascii="Times New Roman" w:eastAsia="Times New Roman" w:hAnsi="Times New Roman"/>
          <w:b/>
          <w:i/>
          <w:sz w:val="20"/>
          <w:szCs w:val="20"/>
        </w:rPr>
      </w:pPr>
      <w:r w:rsidRPr="00963272">
        <w:rPr>
          <w:rFonts w:ascii="Times New Roman" w:eastAsia="Times New Roman" w:hAnsi="Times New Roman"/>
          <w:b/>
          <w:i/>
          <w:sz w:val="20"/>
          <w:szCs w:val="20"/>
        </w:rPr>
        <w:t>(</w:t>
      </w:r>
      <w:r w:rsidR="00B04E25" w:rsidRPr="00963272">
        <w:rPr>
          <w:rFonts w:ascii="Times New Roman" w:eastAsia="Times New Roman" w:hAnsi="Times New Roman"/>
          <w:b/>
          <w:i/>
          <w:sz w:val="20"/>
          <w:szCs w:val="20"/>
        </w:rPr>
        <w:t>Rs</w:t>
      </w:r>
      <w:r w:rsidRPr="00963272">
        <w:rPr>
          <w:rFonts w:ascii="Times New Roman" w:eastAsia="Times New Roman" w:hAnsi="Times New Roman"/>
          <w:b/>
          <w:i/>
          <w:sz w:val="20"/>
          <w:szCs w:val="20"/>
        </w:rPr>
        <w:t>.</w:t>
      </w:r>
      <w:r w:rsidR="00B04E25" w:rsidRPr="00963272">
        <w:rPr>
          <w:rFonts w:ascii="Times New Roman" w:eastAsia="Times New Roman" w:hAnsi="Times New Roman"/>
          <w:b/>
          <w:i/>
          <w:sz w:val="20"/>
          <w:szCs w:val="20"/>
        </w:rPr>
        <w:t xml:space="preserve"> in Crore</w:t>
      </w:r>
      <w:r w:rsidRPr="00963272">
        <w:rPr>
          <w:rFonts w:ascii="Times New Roman" w:eastAsia="Times New Roman" w:hAnsi="Times New Roman"/>
          <w:b/>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8"/>
        <w:gridCol w:w="1250"/>
        <w:gridCol w:w="1156"/>
        <w:gridCol w:w="1149"/>
        <w:gridCol w:w="1069"/>
      </w:tblGrid>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sz w:val="20"/>
                <w:szCs w:val="20"/>
                <w:lang w:val="en-IN" w:eastAsia="en-IN"/>
              </w:rPr>
            </w:pPr>
          </w:p>
        </w:tc>
        <w:tc>
          <w:tcPr>
            <w:tcW w:w="709" w:type="pct"/>
            <w:shd w:val="clear" w:color="auto" w:fill="auto"/>
            <w:noWrap/>
            <w:vAlign w:val="bottom"/>
            <w:hideMark/>
          </w:tcPr>
          <w:p w:rsidR="00A932E3" w:rsidRPr="00963272" w:rsidRDefault="00A932E3" w:rsidP="00963272">
            <w:pPr>
              <w:spacing w:after="0" w:line="240" w:lineRule="auto"/>
              <w:jc w:val="center"/>
              <w:rPr>
                <w:rFonts w:ascii="Times New Roman" w:eastAsia="Times New Roman" w:hAnsi="Times New Roman"/>
                <w:b/>
                <w:color w:val="000000"/>
                <w:sz w:val="20"/>
                <w:szCs w:val="20"/>
                <w:lang w:val="en-IN" w:eastAsia="en-IN"/>
              </w:rPr>
            </w:pPr>
            <w:r w:rsidRPr="00963272">
              <w:rPr>
                <w:rFonts w:ascii="Times New Roman" w:eastAsia="Times New Roman" w:hAnsi="Times New Roman"/>
                <w:b/>
                <w:color w:val="000000"/>
                <w:sz w:val="20"/>
                <w:szCs w:val="20"/>
                <w:lang w:val="en-IN" w:eastAsia="en-IN"/>
              </w:rPr>
              <w:t>2015-16</w:t>
            </w:r>
          </w:p>
        </w:tc>
        <w:tc>
          <w:tcPr>
            <w:tcW w:w="693" w:type="pct"/>
            <w:shd w:val="clear" w:color="auto" w:fill="auto"/>
            <w:noWrap/>
            <w:vAlign w:val="bottom"/>
            <w:hideMark/>
          </w:tcPr>
          <w:p w:rsidR="00A932E3" w:rsidRPr="00963272" w:rsidRDefault="00A932E3" w:rsidP="00963272">
            <w:pPr>
              <w:spacing w:after="0" w:line="240" w:lineRule="auto"/>
              <w:jc w:val="center"/>
              <w:rPr>
                <w:rFonts w:ascii="Times New Roman" w:eastAsia="Times New Roman" w:hAnsi="Times New Roman"/>
                <w:b/>
                <w:color w:val="000000"/>
                <w:sz w:val="20"/>
                <w:szCs w:val="20"/>
                <w:lang w:val="en-IN" w:eastAsia="en-IN"/>
              </w:rPr>
            </w:pPr>
            <w:r w:rsidRPr="00963272">
              <w:rPr>
                <w:rFonts w:ascii="Times New Roman" w:eastAsia="Times New Roman" w:hAnsi="Times New Roman"/>
                <w:b/>
                <w:color w:val="000000"/>
                <w:sz w:val="20"/>
                <w:szCs w:val="20"/>
                <w:lang w:val="en-IN" w:eastAsia="en-IN"/>
              </w:rPr>
              <w:t>2016-17</w:t>
            </w:r>
          </w:p>
        </w:tc>
        <w:tc>
          <w:tcPr>
            <w:tcW w:w="641" w:type="pct"/>
            <w:shd w:val="clear" w:color="auto" w:fill="auto"/>
            <w:noWrap/>
            <w:vAlign w:val="bottom"/>
            <w:hideMark/>
          </w:tcPr>
          <w:p w:rsidR="00A932E3" w:rsidRPr="00963272" w:rsidRDefault="00A932E3" w:rsidP="00963272">
            <w:pPr>
              <w:spacing w:after="0" w:line="240" w:lineRule="auto"/>
              <w:jc w:val="center"/>
              <w:rPr>
                <w:rFonts w:ascii="Times New Roman" w:eastAsia="Times New Roman" w:hAnsi="Times New Roman"/>
                <w:b/>
                <w:color w:val="000000"/>
                <w:sz w:val="20"/>
                <w:szCs w:val="20"/>
                <w:lang w:val="en-IN" w:eastAsia="en-IN"/>
              </w:rPr>
            </w:pPr>
            <w:r w:rsidRPr="00963272">
              <w:rPr>
                <w:rFonts w:ascii="Times New Roman" w:eastAsia="Times New Roman" w:hAnsi="Times New Roman"/>
                <w:b/>
                <w:color w:val="000000"/>
                <w:sz w:val="20"/>
                <w:szCs w:val="20"/>
                <w:lang w:val="en-IN" w:eastAsia="en-IN"/>
              </w:rPr>
              <w:t>2017-18</w:t>
            </w:r>
          </w:p>
        </w:tc>
        <w:tc>
          <w:tcPr>
            <w:tcW w:w="637" w:type="pct"/>
            <w:shd w:val="clear" w:color="auto" w:fill="auto"/>
            <w:noWrap/>
            <w:vAlign w:val="bottom"/>
            <w:hideMark/>
          </w:tcPr>
          <w:p w:rsidR="00A932E3" w:rsidRPr="00963272" w:rsidRDefault="00A932E3" w:rsidP="00963272">
            <w:pPr>
              <w:spacing w:after="0" w:line="240" w:lineRule="auto"/>
              <w:jc w:val="center"/>
              <w:rPr>
                <w:rFonts w:ascii="Times New Roman" w:eastAsia="Times New Roman" w:hAnsi="Times New Roman"/>
                <w:b/>
                <w:color w:val="000000"/>
                <w:sz w:val="20"/>
                <w:szCs w:val="20"/>
                <w:lang w:val="en-IN" w:eastAsia="en-IN"/>
              </w:rPr>
            </w:pPr>
            <w:r w:rsidRPr="00963272">
              <w:rPr>
                <w:rFonts w:ascii="Times New Roman" w:eastAsia="Times New Roman" w:hAnsi="Times New Roman"/>
                <w:b/>
                <w:color w:val="000000"/>
                <w:sz w:val="20"/>
                <w:szCs w:val="20"/>
                <w:lang w:val="en-IN" w:eastAsia="en-IN"/>
              </w:rPr>
              <w:t>2018-19</w:t>
            </w:r>
          </w:p>
        </w:tc>
        <w:tc>
          <w:tcPr>
            <w:tcW w:w="593" w:type="pct"/>
            <w:shd w:val="clear" w:color="auto" w:fill="auto"/>
            <w:noWrap/>
            <w:vAlign w:val="bottom"/>
            <w:hideMark/>
          </w:tcPr>
          <w:p w:rsidR="00A932E3" w:rsidRPr="00963272" w:rsidRDefault="00A932E3" w:rsidP="00963272">
            <w:pPr>
              <w:spacing w:after="0" w:line="240" w:lineRule="auto"/>
              <w:jc w:val="center"/>
              <w:rPr>
                <w:rFonts w:ascii="Times New Roman" w:eastAsia="Times New Roman" w:hAnsi="Times New Roman"/>
                <w:b/>
                <w:color w:val="000000"/>
                <w:sz w:val="20"/>
                <w:szCs w:val="20"/>
                <w:lang w:val="en-IN" w:eastAsia="en-IN"/>
              </w:rPr>
            </w:pPr>
            <w:r w:rsidRPr="00963272">
              <w:rPr>
                <w:rFonts w:ascii="Times New Roman" w:eastAsia="Times New Roman" w:hAnsi="Times New Roman"/>
                <w:b/>
                <w:color w:val="000000"/>
                <w:sz w:val="20"/>
                <w:szCs w:val="20"/>
                <w:lang w:val="en-IN" w:eastAsia="en-IN"/>
              </w:rPr>
              <w:t>2019-20</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Market Borrowings</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449.46</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550.41</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744.13</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790.29</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432.07</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NSSF</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23.34</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-7.72</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-23.61</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-15.05</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-13.46</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Loans from Financial Inst.</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-6.91</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-2.12</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-2.1</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-0.6</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-2.39</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Loans from GoI</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-7.14</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-3.48</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-7.6</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-5.33</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3.21</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Small Savings, PF</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37.65</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83.3</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80.57</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93.93</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157.21</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Deposits and Advances</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21.64</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80.11</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24.17</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15.53</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81.69</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Suspense and Miscellaneous</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-5.42</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-827.7</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-13.18</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-587.95</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1392.35</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Remittances</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82.51</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70.96</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179.89</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130.65</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-115.86</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Reserve Fund</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59.89</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124.82</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35.72</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5.25</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407.27</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Cash Balance</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36.86</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102.63</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484.99</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476.9</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 260.91</w:t>
            </w:r>
          </w:p>
        </w:tc>
      </w:tr>
      <w:tr w:rsidR="00A932E3" w:rsidRPr="00A932E3" w:rsidTr="001F4F2C">
        <w:trPr>
          <w:trHeight w:val="300"/>
        </w:trPr>
        <w:tc>
          <w:tcPr>
            <w:tcW w:w="1727" w:type="pct"/>
            <w:shd w:val="clear" w:color="auto" w:fill="auto"/>
            <w:noWrap/>
            <w:vAlign w:val="bottom"/>
            <w:hideMark/>
          </w:tcPr>
          <w:p w:rsidR="00A932E3" w:rsidRPr="00A932E3" w:rsidRDefault="00A932E3" w:rsidP="00A932E3">
            <w:pPr>
              <w:spacing w:after="0" w:line="240" w:lineRule="auto"/>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Gross Fiscal Deficit</w:t>
            </w:r>
          </w:p>
        </w:tc>
        <w:tc>
          <w:tcPr>
            <w:tcW w:w="709"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-519.92</w:t>
            </w:r>
          </w:p>
        </w:tc>
        <w:tc>
          <w:tcPr>
            <w:tcW w:w="6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86.3</w:t>
            </w:r>
          </w:p>
        </w:tc>
        <w:tc>
          <w:tcPr>
            <w:tcW w:w="641"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-461.88</w:t>
            </w:r>
          </w:p>
        </w:tc>
        <w:tc>
          <w:tcPr>
            <w:tcW w:w="637"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-642.32</w:t>
            </w:r>
          </w:p>
        </w:tc>
        <w:tc>
          <w:tcPr>
            <w:tcW w:w="593" w:type="pct"/>
            <w:shd w:val="clear" w:color="auto" w:fill="auto"/>
            <w:noWrap/>
            <w:vAlign w:val="bottom"/>
            <w:hideMark/>
          </w:tcPr>
          <w:p w:rsidR="00A932E3" w:rsidRPr="00A932E3" w:rsidRDefault="00A932E3" w:rsidP="00963272">
            <w:pPr>
              <w:spacing w:after="0" w:line="240" w:lineRule="auto"/>
              <w:jc w:val="right"/>
              <w:rPr>
                <w:rFonts w:ascii="Times New Roman" w:eastAsia="Times New Roman" w:hAnsi="Times New Roman"/>
                <w:color w:val="000000"/>
                <w:sz w:val="20"/>
                <w:szCs w:val="20"/>
                <w:lang w:val="en-IN" w:eastAsia="en-IN"/>
              </w:rPr>
            </w:pPr>
            <w:r w:rsidRPr="00A932E3">
              <w:rPr>
                <w:rFonts w:ascii="Times New Roman" w:eastAsia="Times New Roman" w:hAnsi="Times New Roman"/>
                <w:color w:val="000000"/>
                <w:sz w:val="20"/>
                <w:szCs w:val="20"/>
                <w:lang w:val="en-IN" w:eastAsia="en-IN"/>
              </w:rPr>
              <w:t>-2081.18</w:t>
            </w:r>
          </w:p>
        </w:tc>
      </w:tr>
    </w:tbl>
    <w:p w:rsidR="00A932E3" w:rsidRPr="008E420A" w:rsidRDefault="008E420A" w:rsidP="008679F3">
      <w:pPr>
        <w:pStyle w:val="ListParagraph"/>
        <w:spacing w:after="0"/>
        <w:ind w:left="0"/>
        <w:rPr>
          <w:rFonts w:ascii="Times New Roman" w:eastAsia="Times New Roman" w:hAnsi="Times New Roman"/>
          <w:sz w:val="20"/>
          <w:szCs w:val="20"/>
        </w:rPr>
      </w:pPr>
      <w:r w:rsidRPr="001F4F2C">
        <w:rPr>
          <w:rFonts w:ascii="Times New Roman" w:eastAsia="Times New Roman" w:hAnsi="Times New Roman"/>
          <w:b/>
          <w:sz w:val="20"/>
          <w:szCs w:val="20"/>
        </w:rPr>
        <w:t>Source</w:t>
      </w:r>
      <w:r w:rsidR="001F4F2C">
        <w:rPr>
          <w:rFonts w:ascii="Times New Roman" w:eastAsia="Times New Roman" w:hAnsi="Times New Roman"/>
          <w:sz w:val="20"/>
          <w:szCs w:val="20"/>
        </w:rPr>
        <w:t>:</w:t>
      </w:r>
      <w:r w:rsidRPr="008E420A">
        <w:rPr>
          <w:rFonts w:ascii="Times New Roman" w:eastAsia="Times New Roman" w:hAnsi="Times New Roman"/>
          <w:sz w:val="20"/>
          <w:szCs w:val="20"/>
        </w:rPr>
        <w:t xml:space="preserve"> Finance Accounts, Budget Documents of relevant years</w:t>
      </w:r>
      <w:r w:rsidR="001F4F2C">
        <w:rPr>
          <w:rFonts w:ascii="Times New Roman" w:eastAsia="Times New Roman" w:hAnsi="Times New Roman"/>
          <w:sz w:val="20"/>
          <w:szCs w:val="20"/>
        </w:rPr>
        <w:t>.</w:t>
      </w:r>
    </w:p>
    <w:p w:rsidR="00A932E3" w:rsidRPr="007F7B91" w:rsidRDefault="007F7B91" w:rsidP="008679F3">
      <w:pPr>
        <w:pStyle w:val="ListParagraph"/>
        <w:spacing w:after="0"/>
        <w:ind w:left="0"/>
        <w:rPr>
          <w:rFonts w:ascii="Times New Roman" w:eastAsia="Times New Roman" w:hAnsi="Times New Roman"/>
          <w:sz w:val="20"/>
          <w:szCs w:val="20"/>
        </w:rPr>
      </w:pPr>
      <w:r w:rsidRPr="001F4F2C">
        <w:rPr>
          <w:rFonts w:ascii="Times New Roman" w:eastAsia="Times New Roman" w:hAnsi="Times New Roman"/>
          <w:b/>
          <w:sz w:val="20"/>
          <w:szCs w:val="20"/>
        </w:rPr>
        <w:t>Note:</w:t>
      </w:r>
      <w:r w:rsidRPr="007F7B91">
        <w:rPr>
          <w:rFonts w:ascii="Times New Roman" w:eastAsia="Times New Roman" w:hAnsi="Times New Roman"/>
          <w:sz w:val="20"/>
          <w:szCs w:val="20"/>
        </w:rPr>
        <w:t xml:space="preserve"> The figures are </w:t>
      </w:r>
      <w:r w:rsidR="00C62B2F" w:rsidRPr="007F7B91">
        <w:rPr>
          <w:rFonts w:ascii="Times New Roman" w:eastAsia="Times New Roman" w:hAnsi="Times New Roman"/>
          <w:sz w:val="20"/>
          <w:szCs w:val="20"/>
        </w:rPr>
        <w:t>net of disbursements/outflows during the year</w:t>
      </w:r>
      <w:r w:rsidR="001F4F2C">
        <w:rPr>
          <w:rFonts w:ascii="Times New Roman" w:eastAsia="Times New Roman" w:hAnsi="Times New Roman"/>
          <w:sz w:val="20"/>
          <w:szCs w:val="20"/>
        </w:rPr>
        <w:t>.</w:t>
      </w:r>
    </w:p>
    <w:p w:rsidR="00A932E3" w:rsidRPr="00121AC0" w:rsidRDefault="00A932E3" w:rsidP="008679F3">
      <w:pPr>
        <w:pStyle w:val="ListParagraph"/>
        <w:spacing w:after="0"/>
        <w:ind w:left="0"/>
        <w:rPr>
          <w:rFonts w:ascii="Times New Roman" w:eastAsia="Times New Roman" w:hAnsi="Times New Roman"/>
          <w:sz w:val="24"/>
          <w:szCs w:val="24"/>
        </w:rPr>
      </w:pPr>
    </w:p>
    <w:p w:rsidR="007C5E16" w:rsidRPr="00BA6D00" w:rsidRDefault="008679F3" w:rsidP="008679F3">
      <w:pPr>
        <w:pStyle w:val="ListParagraph"/>
        <w:spacing w:after="0"/>
        <w:ind w:left="0"/>
        <w:rPr>
          <w:rFonts w:ascii="Times New Roman" w:eastAsia="Times New Roman" w:hAnsi="Times New Roman"/>
          <w:b/>
          <w:sz w:val="24"/>
          <w:szCs w:val="24"/>
        </w:rPr>
      </w:pPr>
      <w:r>
        <w:rPr>
          <w:rFonts w:ascii="Times New Roman" w:eastAsia="Times New Roman" w:hAnsi="Times New Roman"/>
          <w:b/>
          <w:sz w:val="24"/>
          <w:szCs w:val="24"/>
        </w:rPr>
        <w:t xml:space="preserve">4.3 </w:t>
      </w:r>
      <w:r w:rsidR="007C5E16" w:rsidRPr="00BA6D00">
        <w:rPr>
          <w:rFonts w:ascii="Times New Roman" w:eastAsia="Times New Roman" w:hAnsi="Times New Roman"/>
          <w:b/>
          <w:sz w:val="24"/>
          <w:szCs w:val="24"/>
        </w:rPr>
        <w:t>Fiscal Management Principles</w:t>
      </w:r>
    </w:p>
    <w:p w:rsidR="00C82D59" w:rsidRDefault="00C82D59" w:rsidP="00CA0D69">
      <w:pPr>
        <w:spacing w:after="0" w:line="360" w:lineRule="auto"/>
        <w:jc w:val="both"/>
        <w:rPr>
          <w:rFonts w:ascii="Times New Roman" w:eastAsia="Times New Roman" w:hAnsi="Times New Roman"/>
          <w:sz w:val="24"/>
          <w:szCs w:val="24"/>
        </w:rPr>
      </w:pPr>
    </w:p>
    <w:p w:rsidR="00DE2E5F" w:rsidRDefault="008C5A91" w:rsidP="00CA0D69">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State FRBM Act includes </w:t>
      </w:r>
      <w:r w:rsidR="0025087E" w:rsidRPr="00DE370A">
        <w:rPr>
          <w:rFonts w:ascii="Times New Roman" w:eastAsia="Times New Roman" w:hAnsi="Times New Roman"/>
          <w:sz w:val="24"/>
          <w:szCs w:val="24"/>
        </w:rPr>
        <w:t xml:space="preserve">guiding fiscal management principles </w:t>
      </w:r>
      <w:r w:rsidR="00DE2E5F">
        <w:rPr>
          <w:rFonts w:ascii="Times New Roman" w:eastAsia="Times New Roman" w:hAnsi="Times New Roman"/>
          <w:sz w:val="24"/>
          <w:szCs w:val="24"/>
        </w:rPr>
        <w:t xml:space="preserve">to enable the government to take appropriate public financial management decisions. </w:t>
      </w:r>
      <w:r w:rsidR="00721EAF" w:rsidRPr="00721EAF">
        <w:rPr>
          <w:rFonts w:ascii="Times New Roman" w:eastAsia="Times New Roman" w:hAnsi="Times New Roman"/>
          <w:sz w:val="24"/>
          <w:szCs w:val="24"/>
        </w:rPr>
        <w:t xml:space="preserve">The fiscal management principles reflect the necessity of strengthening </w:t>
      </w:r>
      <w:r w:rsidR="00721EAF">
        <w:rPr>
          <w:rFonts w:ascii="Times New Roman" w:eastAsia="Times New Roman" w:hAnsi="Times New Roman"/>
          <w:sz w:val="24"/>
          <w:szCs w:val="24"/>
        </w:rPr>
        <w:t xml:space="preserve">PFM </w:t>
      </w:r>
      <w:r w:rsidR="00721EAF" w:rsidRPr="00721EAF">
        <w:rPr>
          <w:rFonts w:ascii="Times New Roman" w:eastAsia="Times New Roman" w:hAnsi="Times New Roman"/>
          <w:sz w:val="24"/>
          <w:szCs w:val="24"/>
        </w:rPr>
        <w:t>institution</w:t>
      </w:r>
      <w:r w:rsidR="00721EAF">
        <w:rPr>
          <w:rFonts w:ascii="Times New Roman" w:eastAsia="Times New Roman" w:hAnsi="Times New Roman"/>
          <w:sz w:val="24"/>
          <w:szCs w:val="24"/>
        </w:rPr>
        <w:t>s</w:t>
      </w:r>
      <w:r w:rsidR="00721EAF" w:rsidRPr="00721EAF">
        <w:rPr>
          <w:rFonts w:ascii="Times New Roman" w:eastAsia="Times New Roman" w:hAnsi="Times New Roman"/>
          <w:sz w:val="24"/>
          <w:szCs w:val="24"/>
        </w:rPr>
        <w:t xml:space="preserve">. </w:t>
      </w:r>
      <w:r w:rsidR="00DE2E5F">
        <w:rPr>
          <w:rFonts w:ascii="Times New Roman" w:eastAsia="Times New Roman" w:hAnsi="Times New Roman"/>
          <w:sz w:val="24"/>
          <w:szCs w:val="24"/>
        </w:rPr>
        <w:t>The Act does not fix any targets or give any indicator to assess these principles like those for mandatory fiscal targets. The broad fiscal management principles include the following:</w:t>
      </w:r>
    </w:p>
    <w:p w:rsidR="00DE2E5F" w:rsidRDefault="00DE2E5F" w:rsidP="00DE2E5F">
      <w:pPr>
        <w:pStyle w:val="ListParagraph"/>
        <w:numPr>
          <w:ilvl w:val="0"/>
          <w:numId w:val="17"/>
        </w:numPr>
        <w:spacing w:after="0" w:line="360" w:lineRule="auto"/>
        <w:jc w:val="both"/>
        <w:rPr>
          <w:rFonts w:ascii="Times New Roman" w:eastAsia="Times New Roman" w:hAnsi="Times New Roman"/>
          <w:sz w:val="24"/>
          <w:szCs w:val="24"/>
        </w:rPr>
      </w:pPr>
      <w:r w:rsidRPr="00DE2E5F">
        <w:rPr>
          <w:rFonts w:ascii="Times New Roman" w:eastAsia="Times New Roman" w:hAnsi="Times New Roman"/>
          <w:sz w:val="24"/>
          <w:szCs w:val="24"/>
        </w:rPr>
        <w:t>T</w:t>
      </w:r>
      <w:r w:rsidR="0025087E" w:rsidRPr="00DE2E5F">
        <w:rPr>
          <w:rFonts w:ascii="Times New Roman" w:eastAsia="Times New Roman" w:hAnsi="Times New Roman"/>
          <w:sz w:val="24"/>
          <w:szCs w:val="24"/>
        </w:rPr>
        <w:t>o maintain prudent debt level</w:t>
      </w:r>
    </w:p>
    <w:p w:rsidR="00DE2E5F" w:rsidRDefault="00DE2E5F" w:rsidP="00DE2E5F">
      <w:pPr>
        <w:pStyle w:val="ListParagraph"/>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w:t>
      </w:r>
      <w:r w:rsidR="0025087E" w:rsidRPr="00DE2E5F">
        <w:rPr>
          <w:rFonts w:ascii="Times New Roman" w:eastAsia="Times New Roman" w:hAnsi="Times New Roman"/>
          <w:sz w:val="24"/>
          <w:szCs w:val="24"/>
        </w:rPr>
        <w:t>anage guarantees</w:t>
      </w:r>
    </w:p>
    <w:p w:rsidR="00DE2E5F" w:rsidRDefault="00DE2E5F" w:rsidP="00DE2E5F">
      <w:pPr>
        <w:pStyle w:val="ListParagraph"/>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E</w:t>
      </w:r>
      <w:r w:rsidR="0025087E" w:rsidRPr="00DE2E5F">
        <w:rPr>
          <w:rFonts w:ascii="Times New Roman" w:eastAsia="Times New Roman" w:hAnsi="Times New Roman"/>
          <w:sz w:val="24"/>
          <w:szCs w:val="24"/>
        </w:rPr>
        <w:t>nsure borrowings to be used for productive purposes</w:t>
      </w:r>
    </w:p>
    <w:p w:rsidR="00C82D59" w:rsidRPr="00DE2E5F" w:rsidRDefault="00DE2E5F" w:rsidP="00DE2E5F">
      <w:pPr>
        <w:pStyle w:val="ListParagraph"/>
        <w:numPr>
          <w:ilvl w:val="0"/>
          <w:numId w:val="1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w:t>
      </w:r>
      <w:r w:rsidR="0025087E" w:rsidRPr="00DE2E5F">
        <w:rPr>
          <w:rFonts w:ascii="Times New Roman" w:eastAsia="Times New Roman" w:hAnsi="Times New Roman"/>
          <w:sz w:val="24"/>
          <w:szCs w:val="24"/>
        </w:rPr>
        <w:t>ursue revenue expenditure policies to pro</w:t>
      </w:r>
      <w:r w:rsidR="001F4F2C">
        <w:rPr>
          <w:rFonts w:ascii="Times New Roman" w:eastAsia="Times New Roman" w:hAnsi="Times New Roman"/>
          <w:sz w:val="24"/>
          <w:szCs w:val="24"/>
        </w:rPr>
        <w:t>vide impetus to economic growth.</w:t>
      </w:r>
    </w:p>
    <w:p w:rsidR="00C82D59" w:rsidRDefault="00C82D59" w:rsidP="00CA0D69">
      <w:pPr>
        <w:spacing w:after="0" w:line="360" w:lineRule="auto"/>
        <w:jc w:val="both"/>
        <w:rPr>
          <w:rFonts w:ascii="Times New Roman" w:eastAsia="Times New Roman" w:hAnsi="Times New Roman"/>
          <w:sz w:val="24"/>
          <w:szCs w:val="24"/>
        </w:rPr>
      </w:pPr>
    </w:p>
    <w:p w:rsidR="007C5E16" w:rsidRDefault="007E7109" w:rsidP="00CA0D69">
      <w:pPr>
        <w:spacing w:after="0" w:line="360" w:lineRule="auto"/>
        <w:jc w:val="both"/>
        <w:rPr>
          <w:rFonts w:ascii="Times New Roman" w:eastAsia="Times New Roman" w:hAnsi="Times New Roman"/>
          <w:sz w:val="24"/>
          <w:szCs w:val="24"/>
        </w:rPr>
      </w:pPr>
      <w:r w:rsidRPr="007E7109">
        <w:rPr>
          <w:rFonts w:ascii="Times New Roman" w:eastAsia="Times New Roman" w:hAnsi="Times New Roman"/>
          <w:sz w:val="24"/>
          <w:szCs w:val="24"/>
        </w:rPr>
        <w:t xml:space="preserve">The objective of including fiscal management principles in the FRBM Act is to influence the policy making to achieve policy </w:t>
      </w:r>
      <w:r w:rsidR="0032699E">
        <w:rPr>
          <w:rFonts w:ascii="Times New Roman" w:eastAsia="Times New Roman" w:hAnsi="Times New Roman"/>
          <w:sz w:val="24"/>
          <w:szCs w:val="24"/>
        </w:rPr>
        <w:t xml:space="preserve">objectives </w:t>
      </w:r>
      <w:r w:rsidRPr="007E7109">
        <w:rPr>
          <w:rFonts w:ascii="Times New Roman" w:eastAsia="Times New Roman" w:hAnsi="Times New Roman"/>
          <w:sz w:val="24"/>
          <w:szCs w:val="24"/>
        </w:rPr>
        <w:t>and facilitate adherence to agreed-upon fiscal strategy</w:t>
      </w:r>
      <w:r w:rsidR="0032699E">
        <w:rPr>
          <w:rFonts w:ascii="Times New Roman" w:eastAsia="Times New Roman" w:hAnsi="Times New Roman"/>
          <w:sz w:val="24"/>
          <w:szCs w:val="24"/>
        </w:rPr>
        <w:t>.</w:t>
      </w:r>
      <w:r w:rsidRPr="007E7109">
        <w:rPr>
          <w:rFonts w:ascii="Times New Roman" w:eastAsia="Times New Roman" w:hAnsi="Times New Roman"/>
          <w:sz w:val="24"/>
          <w:szCs w:val="24"/>
        </w:rPr>
        <w:t xml:space="preserve"> </w:t>
      </w:r>
      <w:r w:rsidR="0032699E">
        <w:rPr>
          <w:rFonts w:ascii="Times New Roman" w:eastAsia="Times New Roman" w:hAnsi="Times New Roman"/>
          <w:sz w:val="24"/>
          <w:szCs w:val="24"/>
        </w:rPr>
        <w:t>These</w:t>
      </w:r>
      <w:r w:rsidR="007C5E16" w:rsidRPr="00DE370A">
        <w:rPr>
          <w:rFonts w:ascii="Times New Roman" w:eastAsia="Times New Roman" w:hAnsi="Times New Roman"/>
          <w:sz w:val="24"/>
          <w:szCs w:val="24"/>
        </w:rPr>
        <w:t xml:space="preserve"> principles </w:t>
      </w:r>
      <w:r w:rsidR="00721EAF">
        <w:rPr>
          <w:rFonts w:ascii="Times New Roman" w:eastAsia="Times New Roman" w:hAnsi="Times New Roman"/>
          <w:sz w:val="24"/>
          <w:szCs w:val="24"/>
        </w:rPr>
        <w:t xml:space="preserve">aim at enhancing </w:t>
      </w:r>
      <w:r w:rsidR="00241DDC">
        <w:rPr>
          <w:rFonts w:ascii="Times New Roman" w:eastAsia="Times New Roman" w:hAnsi="Times New Roman"/>
          <w:sz w:val="24"/>
          <w:szCs w:val="24"/>
        </w:rPr>
        <w:t xml:space="preserve">accountability </w:t>
      </w:r>
      <w:r w:rsidR="00721EAF">
        <w:rPr>
          <w:rFonts w:ascii="Times New Roman" w:eastAsia="Times New Roman" w:hAnsi="Times New Roman"/>
          <w:sz w:val="24"/>
          <w:szCs w:val="24"/>
        </w:rPr>
        <w:t xml:space="preserve">and help in achieving mandated fiscal </w:t>
      </w:r>
      <w:r w:rsidR="007C5E16" w:rsidRPr="00DE370A">
        <w:rPr>
          <w:rFonts w:ascii="Times New Roman" w:eastAsia="Times New Roman" w:hAnsi="Times New Roman"/>
          <w:sz w:val="24"/>
          <w:szCs w:val="24"/>
        </w:rPr>
        <w:t xml:space="preserve">targets. </w:t>
      </w:r>
      <w:r w:rsidR="00721EAF">
        <w:rPr>
          <w:rFonts w:ascii="Times New Roman" w:eastAsia="Times New Roman" w:hAnsi="Times New Roman"/>
          <w:sz w:val="24"/>
          <w:szCs w:val="24"/>
        </w:rPr>
        <w:t xml:space="preserve">The principles reflect broad objectives of </w:t>
      </w:r>
      <w:r w:rsidR="007C5E16" w:rsidRPr="00DE370A">
        <w:rPr>
          <w:rFonts w:ascii="Times New Roman" w:eastAsia="Times New Roman" w:hAnsi="Times New Roman"/>
          <w:sz w:val="24"/>
          <w:szCs w:val="24"/>
        </w:rPr>
        <w:t>economic polic</w:t>
      </w:r>
      <w:r w:rsidR="00721EAF">
        <w:rPr>
          <w:rFonts w:ascii="Times New Roman" w:eastAsia="Times New Roman" w:hAnsi="Times New Roman"/>
          <w:sz w:val="24"/>
          <w:szCs w:val="24"/>
        </w:rPr>
        <w:t xml:space="preserve">ies </w:t>
      </w:r>
      <w:r w:rsidR="00241DDC">
        <w:rPr>
          <w:rFonts w:ascii="Times New Roman" w:eastAsia="Times New Roman" w:hAnsi="Times New Roman"/>
          <w:sz w:val="24"/>
          <w:szCs w:val="24"/>
        </w:rPr>
        <w:t>g</w:t>
      </w:r>
      <w:r w:rsidR="007C5E16" w:rsidRPr="00DE370A">
        <w:rPr>
          <w:rFonts w:ascii="Times New Roman" w:eastAsia="Times New Roman" w:hAnsi="Times New Roman"/>
          <w:sz w:val="24"/>
          <w:szCs w:val="24"/>
        </w:rPr>
        <w:t>overnments at any level</w:t>
      </w:r>
      <w:r w:rsidR="00721EAF">
        <w:rPr>
          <w:rFonts w:ascii="Times New Roman" w:eastAsia="Times New Roman" w:hAnsi="Times New Roman"/>
          <w:sz w:val="24"/>
          <w:szCs w:val="24"/>
        </w:rPr>
        <w:t xml:space="preserve">. These </w:t>
      </w:r>
      <w:r w:rsidR="007C5E16" w:rsidRPr="00DE370A">
        <w:rPr>
          <w:rFonts w:ascii="Times New Roman" w:eastAsia="Times New Roman" w:hAnsi="Times New Roman"/>
          <w:sz w:val="24"/>
          <w:szCs w:val="24"/>
        </w:rPr>
        <w:t xml:space="preserve">can be properly assessed only over a reasonably long period with continuous monitoring of relevant fiscal data. </w:t>
      </w:r>
      <w:r w:rsidR="00CA0D69">
        <w:rPr>
          <w:rFonts w:ascii="Times New Roman" w:eastAsia="Times New Roman" w:hAnsi="Times New Roman"/>
          <w:sz w:val="24"/>
          <w:szCs w:val="24"/>
        </w:rPr>
        <w:t xml:space="preserve">In the context of Sikkim, the fiscal management principles assume significance due to the challenges </w:t>
      </w:r>
      <w:r w:rsidR="008C5A91">
        <w:rPr>
          <w:rFonts w:ascii="Times New Roman" w:eastAsia="Times New Roman" w:hAnsi="Times New Roman"/>
          <w:sz w:val="24"/>
          <w:szCs w:val="24"/>
        </w:rPr>
        <w:t xml:space="preserve">like </w:t>
      </w:r>
      <w:r w:rsidR="00CA0D69">
        <w:rPr>
          <w:rFonts w:ascii="Times New Roman" w:eastAsia="Times New Roman" w:hAnsi="Times New Roman"/>
          <w:sz w:val="24"/>
          <w:szCs w:val="24"/>
        </w:rPr>
        <w:t>lack</w:t>
      </w:r>
      <w:r w:rsidR="001204FE">
        <w:rPr>
          <w:rFonts w:ascii="Times New Roman" w:eastAsia="Times New Roman" w:hAnsi="Times New Roman"/>
          <w:sz w:val="24"/>
          <w:szCs w:val="24"/>
        </w:rPr>
        <w:t xml:space="preserve"> of</w:t>
      </w:r>
      <w:r w:rsidR="00CA0D69">
        <w:rPr>
          <w:rFonts w:ascii="Times New Roman" w:eastAsia="Times New Roman" w:hAnsi="Times New Roman"/>
          <w:sz w:val="24"/>
          <w:szCs w:val="24"/>
        </w:rPr>
        <w:t xml:space="preserve"> adequate resource base, a large committed spending, and provision of public services in a difficult terrain, which becomes costly. </w:t>
      </w:r>
      <w:r w:rsidR="0025087E">
        <w:rPr>
          <w:rFonts w:ascii="Times New Roman" w:eastAsia="Times New Roman" w:hAnsi="Times New Roman"/>
          <w:sz w:val="24"/>
          <w:szCs w:val="24"/>
        </w:rPr>
        <w:t>The important fiscal management principles enshrined in the FRBM Act are discussed here.</w:t>
      </w:r>
    </w:p>
    <w:p w:rsidR="00CA0D69" w:rsidRDefault="00CA0D69" w:rsidP="00CA0D69">
      <w:pPr>
        <w:spacing w:after="0" w:line="360" w:lineRule="auto"/>
        <w:jc w:val="both"/>
        <w:rPr>
          <w:rFonts w:ascii="Times New Roman" w:eastAsia="Times New Roman" w:hAnsi="Times New Roman"/>
          <w:b/>
          <w:sz w:val="24"/>
          <w:szCs w:val="24"/>
        </w:rPr>
      </w:pPr>
    </w:p>
    <w:p w:rsidR="007C5E16" w:rsidRPr="0032699E" w:rsidRDefault="00B855D2" w:rsidP="007C5E16">
      <w:pPr>
        <w:keepNext/>
        <w:keepLines/>
        <w:spacing w:after="0" w:line="360" w:lineRule="auto"/>
        <w:jc w:val="both"/>
        <w:rPr>
          <w:rFonts w:ascii="Times New Roman" w:eastAsia="Times New Roman" w:hAnsi="Times New Roman"/>
          <w:b/>
          <w:i/>
          <w:sz w:val="24"/>
          <w:szCs w:val="24"/>
        </w:rPr>
      </w:pPr>
      <w:r w:rsidRPr="0032699E">
        <w:rPr>
          <w:rFonts w:ascii="Times New Roman" w:eastAsia="Times New Roman" w:hAnsi="Times New Roman"/>
          <w:b/>
          <w:i/>
          <w:sz w:val="24"/>
          <w:szCs w:val="24"/>
        </w:rPr>
        <w:t>Pruden</w:t>
      </w:r>
      <w:r w:rsidR="00D32DC1">
        <w:rPr>
          <w:rFonts w:ascii="Times New Roman" w:eastAsia="Times New Roman" w:hAnsi="Times New Roman"/>
          <w:b/>
          <w:i/>
          <w:sz w:val="24"/>
          <w:szCs w:val="24"/>
        </w:rPr>
        <w:t xml:space="preserve">cy in </w:t>
      </w:r>
      <w:r w:rsidR="007C5E16" w:rsidRPr="0032699E">
        <w:rPr>
          <w:rFonts w:ascii="Times New Roman" w:eastAsia="Times New Roman" w:hAnsi="Times New Roman"/>
          <w:b/>
          <w:i/>
          <w:sz w:val="24"/>
          <w:szCs w:val="24"/>
        </w:rPr>
        <w:t>Debt Management</w:t>
      </w:r>
    </w:p>
    <w:p w:rsidR="001B0CA7" w:rsidRDefault="001B0CA7" w:rsidP="0025087E">
      <w:pPr>
        <w:spacing w:after="0" w:line="360" w:lineRule="auto"/>
        <w:jc w:val="both"/>
        <w:rPr>
          <w:rFonts w:ascii="Times New Roman" w:hAnsi="Times New Roman"/>
          <w:sz w:val="24"/>
          <w:szCs w:val="24"/>
        </w:rPr>
      </w:pPr>
    </w:p>
    <w:p w:rsidR="00F922FC" w:rsidRDefault="00F922FC" w:rsidP="00F922FC">
      <w:pPr>
        <w:spacing w:after="0" w:line="360" w:lineRule="auto"/>
        <w:jc w:val="both"/>
        <w:rPr>
          <w:rFonts w:ascii="Times New Roman" w:hAnsi="Times New Roman"/>
          <w:sz w:val="24"/>
          <w:szCs w:val="24"/>
        </w:rPr>
      </w:pPr>
      <w:r>
        <w:rPr>
          <w:rFonts w:ascii="Times New Roman" w:hAnsi="Times New Roman"/>
          <w:sz w:val="24"/>
          <w:szCs w:val="24"/>
        </w:rPr>
        <w:t>D</w:t>
      </w:r>
      <w:r w:rsidRPr="00F922FC">
        <w:rPr>
          <w:rFonts w:ascii="Times New Roman" w:hAnsi="Times New Roman"/>
          <w:sz w:val="24"/>
          <w:szCs w:val="24"/>
        </w:rPr>
        <w:t xml:space="preserve">ebt management policy of any </w:t>
      </w:r>
      <w:r>
        <w:rPr>
          <w:rFonts w:ascii="Times New Roman" w:hAnsi="Times New Roman"/>
          <w:sz w:val="24"/>
          <w:szCs w:val="24"/>
        </w:rPr>
        <w:t>g</w:t>
      </w:r>
      <w:r w:rsidRPr="00F922FC">
        <w:rPr>
          <w:rFonts w:ascii="Times New Roman" w:hAnsi="Times New Roman"/>
          <w:sz w:val="24"/>
          <w:szCs w:val="24"/>
        </w:rPr>
        <w:t>overnment aims at meeting the financing needs at the lowest possible long-term borrowing costs and to keep the total debt within sustainable levels.</w:t>
      </w:r>
      <w:r>
        <w:rPr>
          <w:rFonts w:ascii="Times New Roman" w:hAnsi="Times New Roman"/>
          <w:sz w:val="24"/>
          <w:szCs w:val="24"/>
        </w:rPr>
        <w:t xml:space="preserve"> </w:t>
      </w:r>
      <w:r w:rsidR="001B0CA7" w:rsidRPr="001B0CA7">
        <w:rPr>
          <w:rFonts w:ascii="Times New Roman" w:hAnsi="Times New Roman"/>
          <w:sz w:val="24"/>
          <w:szCs w:val="24"/>
        </w:rPr>
        <w:t xml:space="preserve">State governments in India are not free as far as their borrowing powers are concerned. </w:t>
      </w:r>
      <w:r w:rsidR="001B0CA7">
        <w:rPr>
          <w:rFonts w:ascii="Times New Roman" w:hAnsi="Times New Roman"/>
          <w:sz w:val="24"/>
          <w:szCs w:val="24"/>
        </w:rPr>
        <w:t>A s</w:t>
      </w:r>
      <w:r w:rsidR="001B0CA7" w:rsidRPr="001B0CA7">
        <w:rPr>
          <w:rFonts w:ascii="Times New Roman" w:hAnsi="Times New Roman"/>
          <w:sz w:val="24"/>
          <w:szCs w:val="24"/>
        </w:rPr>
        <w:t xml:space="preserve">tate need Centre’s consent to borrow in case the state is indebted to the Centre over a previous loan following Article 293(3). In practice Ministry of Finance, Government of India, determines the limit for state government borrowing. </w:t>
      </w:r>
      <w:r>
        <w:rPr>
          <w:rFonts w:ascii="Times New Roman" w:hAnsi="Times New Roman"/>
          <w:sz w:val="24"/>
          <w:szCs w:val="24"/>
        </w:rPr>
        <w:t xml:space="preserve">As RBI </w:t>
      </w:r>
      <w:r w:rsidRPr="00F922FC">
        <w:rPr>
          <w:rFonts w:ascii="Times New Roman" w:hAnsi="Times New Roman"/>
          <w:sz w:val="24"/>
          <w:szCs w:val="24"/>
        </w:rPr>
        <w:t>manage</w:t>
      </w:r>
      <w:r>
        <w:rPr>
          <w:rFonts w:ascii="Times New Roman" w:hAnsi="Times New Roman"/>
          <w:sz w:val="24"/>
          <w:szCs w:val="24"/>
        </w:rPr>
        <w:t>s</w:t>
      </w:r>
      <w:r w:rsidRPr="00F922FC">
        <w:rPr>
          <w:rFonts w:ascii="Times New Roman" w:hAnsi="Times New Roman"/>
          <w:sz w:val="24"/>
          <w:szCs w:val="24"/>
        </w:rPr>
        <w:t xml:space="preserve"> the public debt of </w:t>
      </w:r>
      <w:r>
        <w:rPr>
          <w:rFonts w:ascii="Times New Roman" w:hAnsi="Times New Roman"/>
          <w:sz w:val="24"/>
          <w:szCs w:val="24"/>
        </w:rPr>
        <w:t>s</w:t>
      </w:r>
      <w:r w:rsidRPr="00F922FC">
        <w:rPr>
          <w:rFonts w:ascii="Times New Roman" w:hAnsi="Times New Roman"/>
          <w:sz w:val="24"/>
          <w:szCs w:val="24"/>
        </w:rPr>
        <w:t xml:space="preserve">tate </w:t>
      </w:r>
      <w:r>
        <w:rPr>
          <w:rFonts w:ascii="Times New Roman" w:hAnsi="Times New Roman"/>
          <w:sz w:val="24"/>
          <w:szCs w:val="24"/>
        </w:rPr>
        <w:t>g</w:t>
      </w:r>
      <w:r w:rsidRPr="00F922FC">
        <w:rPr>
          <w:rFonts w:ascii="Times New Roman" w:hAnsi="Times New Roman"/>
          <w:sz w:val="24"/>
          <w:szCs w:val="24"/>
        </w:rPr>
        <w:t>overnments</w:t>
      </w:r>
      <w:r>
        <w:rPr>
          <w:rFonts w:ascii="Times New Roman" w:hAnsi="Times New Roman"/>
          <w:sz w:val="24"/>
          <w:szCs w:val="24"/>
        </w:rPr>
        <w:t xml:space="preserve"> facilitates their </w:t>
      </w:r>
      <w:r w:rsidRPr="00F922FC">
        <w:rPr>
          <w:rFonts w:ascii="Times New Roman" w:hAnsi="Times New Roman"/>
          <w:sz w:val="24"/>
          <w:szCs w:val="24"/>
        </w:rPr>
        <w:t>investment of their surplus cash balances</w:t>
      </w:r>
      <w:r>
        <w:rPr>
          <w:rFonts w:ascii="Times New Roman" w:hAnsi="Times New Roman"/>
          <w:sz w:val="24"/>
          <w:szCs w:val="24"/>
        </w:rPr>
        <w:t xml:space="preserve">, the states do not face the test of the market based on their fiscal capacity and economic </w:t>
      </w:r>
    </w:p>
    <w:p w:rsidR="00F922FC" w:rsidRDefault="00F922FC" w:rsidP="00F922FC">
      <w:pPr>
        <w:spacing w:after="0" w:line="360" w:lineRule="auto"/>
        <w:jc w:val="both"/>
        <w:rPr>
          <w:rFonts w:ascii="Times New Roman" w:hAnsi="Times New Roman"/>
          <w:sz w:val="24"/>
          <w:szCs w:val="24"/>
        </w:rPr>
      </w:pPr>
    </w:p>
    <w:p w:rsidR="001B0CA7" w:rsidRDefault="00F922FC" w:rsidP="00F922FC">
      <w:pPr>
        <w:spacing w:after="0" w:line="360" w:lineRule="auto"/>
        <w:jc w:val="both"/>
        <w:rPr>
          <w:rFonts w:ascii="Times New Roman" w:hAnsi="Times New Roman"/>
          <w:sz w:val="24"/>
          <w:szCs w:val="24"/>
        </w:rPr>
      </w:pPr>
      <w:r>
        <w:rPr>
          <w:rFonts w:ascii="Times New Roman" w:hAnsi="Times New Roman"/>
          <w:sz w:val="24"/>
          <w:szCs w:val="24"/>
        </w:rPr>
        <w:t xml:space="preserve">The practice of determination of borrowing limit by the central government </w:t>
      </w:r>
      <w:r w:rsidR="001B0CA7" w:rsidRPr="001B0CA7">
        <w:rPr>
          <w:rFonts w:ascii="Times New Roman" w:hAnsi="Times New Roman"/>
          <w:sz w:val="24"/>
          <w:szCs w:val="24"/>
        </w:rPr>
        <w:t xml:space="preserve">acts as an external control in rule based fiscal management. Since the recommendations of the FC-XIII, the central government fixes the borrowing limit of a state based upon the fiscal deficit target stipulated in the FRBM Act. Due to favorable cash balance position, the state government sometimes does not exhaust the borrowing limit. </w:t>
      </w:r>
      <w:r>
        <w:rPr>
          <w:rFonts w:ascii="Times New Roman" w:hAnsi="Times New Roman"/>
          <w:sz w:val="24"/>
          <w:szCs w:val="24"/>
        </w:rPr>
        <w:t xml:space="preserve">In the fiscal year 2019-20, as it has been pointed out earlier, the debt burden of the state did not rise to the extent of the fiscal deficit due to utilization of ash investment. </w:t>
      </w:r>
    </w:p>
    <w:p w:rsidR="001B0CA7" w:rsidRDefault="001B0CA7" w:rsidP="0025087E">
      <w:pPr>
        <w:spacing w:after="0" w:line="360" w:lineRule="auto"/>
        <w:jc w:val="both"/>
        <w:rPr>
          <w:rFonts w:ascii="Times New Roman" w:hAnsi="Times New Roman"/>
          <w:sz w:val="24"/>
          <w:szCs w:val="24"/>
        </w:rPr>
      </w:pPr>
    </w:p>
    <w:p w:rsidR="007973E2" w:rsidRDefault="007973E2" w:rsidP="0025087E">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The set of principles relating to </w:t>
      </w:r>
      <w:r w:rsidRPr="00336B1D">
        <w:rPr>
          <w:rFonts w:ascii="Times New Roman" w:hAnsi="Times New Roman"/>
          <w:sz w:val="24"/>
          <w:szCs w:val="24"/>
        </w:rPr>
        <w:t xml:space="preserve">debt management </w:t>
      </w:r>
      <w:r>
        <w:rPr>
          <w:rFonts w:ascii="Times New Roman" w:hAnsi="Times New Roman"/>
          <w:sz w:val="24"/>
          <w:szCs w:val="24"/>
        </w:rPr>
        <w:t xml:space="preserve">suggested in the </w:t>
      </w:r>
      <w:r w:rsidRPr="00336B1D">
        <w:rPr>
          <w:rFonts w:ascii="Times New Roman" w:hAnsi="Times New Roman"/>
          <w:sz w:val="24"/>
          <w:szCs w:val="24"/>
        </w:rPr>
        <w:t>FRBM Act</w:t>
      </w:r>
      <w:r>
        <w:rPr>
          <w:rFonts w:ascii="Times New Roman" w:hAnsi="Times New Roman"/>
          <w:sz w:val="24"/>
          <w:szCs w:val="24"/>
        </w:rPr>
        <w:t xml:space="preserve"> of Sikkim are the following;</w:t>
      </w:r>
    </w:p>
    <w:p w:rsidR="007973E2" w:rsidRDefault="00D61472" w:rsidP="007973E2">
      <w:pPr>
        <w:pStyle w:val="ListParagraph"/>
        <w:numPr>
          <w:ilvl w:val="0"/>
          <w:numId w:val="18"/>
        </w:numPr>
        <w:spacing w:after="0" w:line="360" w:lineRule="auto"/>
        <w:jc w:val="both"/>
        <w:rPr>
          <w:rFonts w:ascii="Times New Roman" w:hAnsi="Times New Roman"/>
          <w:sz w:val="24"/>
          <w:szCs w:val="24"/>
        </w:rPr>
      </w:pPr>
      <w:r w:rsidRPr="007973E2">
        <w:rPr>
          <w:rFonts w:ascii="Times New Roman" w:hAnsi="Times New Roman"/>
          <w:sz w:val="24"/>
          <w:szCs w:val="24"/>
        </w:rPr>
        <w:t>B</w:t>
      </w:r>
      <w:r w:rsidR="003C2A63" w:rsidRPr="007973E2">
        <w:rPr>
          <w:rFonts w:ascii="Times New Roman" w:hAnsi="Times New Roman"/>
          <w:sz w:val="24"/>
          <w:szCs w:val="24"/>
        </w:rPr>
        <w:t>orrow</w:t>
      </w:r>
      <w:r w:rsidR="0032699E" w:rsidRPr="007973E2">
        <w:rPr>
          <w:rFonts w:ascii="Times New Roman" w:hAnsi="Times New Roman"/>
          <w:sz w:val="24"/>
          <w:szCs w:val="24"/>
        </w:rPr>
        <w:t>ing</w:t>
      </w:r>
      <w:r w:rsidR="003C2A63" w:rsidRPr="007973E2">
        <w:rPr>
          <w:rFonts w:ascii="Times New Roman" w:hAnsi="Times New Roman"/>
          <w:sz w:val="24"/>
          <w:szCs w:val="24"/>
        </w:rPr>
        <w:t xml:space="preserve"> responsibly to </w:t>
      </w:r>
      <w:r w:rsidR="007C5E16" w:rsidRPr="007973E2">
        <w:rPr>
          <w:rFonts w:ascii="Times New Roman" w:hAnsi="Times New Roman"/>
          <w:sz w:val="24"/>
          <w:szCs w:val="24"/>
        </w:rPr>
        <w:t>maintain debt at a prudent level</w:t>
      </w:r>
      <w:r w:rsidR="001F4F2C">
        <w:rPr>
          <w:rFonts w:ascii="Times New Roman" w:hAnsi="Times New Roman"/>
          <w:sz w:val="24"/>
          <w:szCs w:val="24"/>
        </w:rPr>
        <w:t>;</w:t>
      </w:r>
    </w:p>
    <w:p w:rsidR="007973E2" w:rsidRDefault="007973E2" w:rsidP="007973E2">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M</w:t>
      </w:r>
      <w:r w:rsidR="007C5E16" w:rsidRPr="007973E2">
        <w:rPr>
          <w:rFonts w:ascii="Times New Roman" w:hAnsi="Times New Roman"/>
          <w:sz w:val="24"/>
          <w:szCs w:val="24"/>
        </w:rPr>
        <w:t xml:space="preserve">anage guarantees and other contingent liabilities </w:t>
      </w:r>
      <w:r w:rsidR="003C2A63" w:rsidRPr="007973E2">
        <w:rPr>
          <w:rFonts w:ascii="Times New Roman" w:hAnsi="Times New Roman"/>
          <w:sz w:val="24"/>
          <w:szCs w:val="24"/>
        </w:rPr>
        <w:t>within stipulated limits</w:t>
      </w:r>
      <w:r w:rsidR="001F4F2C">
        <w:rPr>
          <w:rFonts w:ascii="Times New Roman" w:hAnsi="Times New Roman"/>
          <w:sz w:val="24"/>
          <w:szCs w:val="24"/>
        </w:rPr>
        <w:t>; and</w:t>
      </w:r>
    </w:p>
    <w:p w:rsidR="007973E2" w:rsidRDefault="007973E2" w:rsidP="007973E2">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U</w:t>
      </w:r>
      <w:r w:rsidR="007C5E16" w:rsidRPr="007973E2">
        <w:rPr>
          <w:rFonts w:ascii="Times New Roman" w:hAnsi="Times New Roman"/>
          <w:sz w:val="24"/>
          <w:szCs w:val="24"/>
        </w:rPr>
        <w:t>s</w:t>
      </w:r>
      <w:r w:rsidR="00D61472" w:rsidRPr="007973E2">
        <w:rPr>
          <w:rFonts w:ascii="Times New Roman" w:hAnsi="Times New Roman"/>
          <w:sz w:val="24"/>
          <w:szCs w:val="24"/>
        </w:rPr>
        <w:t>ing</w:t>
      </w:r>
      <w:r w:rsidR="007C5E16" w:rsidRPr="007973E2">
        <w:rPr>
          <w:rFonts w:ascii="Times New Roman" w:hAnsi="Times New Roman"/>
          <w:sz w:val="24"/>
          <w:szCs w:val="24"/>
        </w:rPr>
        <w:t xml:space="preserve"> borrowed funds for productive purposes </w:t>
      </w:r>
      <w:r w:rsidR="003C2A63" w:rsidRPr="007973E2">
        <w:rPr>
          <w:rFonts w:ascii="Times New Roman" w:hAnsi="Times New Roman"/>
          <w:sz w:val="24"/>
          <w:szCs w:val="24"/>
        </w:rPr>
        <w:t xml:space="preserve">to </w:t>
      </w:r>
      <w:r w:rsidR="007C5E16" w:rsidRPr="007973E2">
        <w:rPr>
          <w:rFonts w:ascii="Times New Roman" w:hAnsi="Times New Roman"/>
          <w:sz w:val="24"/>
          <w:szCs w:val="24"/>
        </w:rPr>
        <w:t>create capital assets</w:t>
      </w:r>
      <w:r>
        <w:rPr>
          <w:rFonts w:ascii="Times New Roman" w:hAnsi="Times New Roman"/>
          <w:sz w:val="24"/>
          <w:szCs w:val="24"/>
        </w:rPr>
        <w:t xml:space="preserve">. This is </w:t>
      </w:r>
      <w:r w:rsidR="003C2A63" w:rsidRPr="007973E2">
        <w:rPr>
          <w:rFonts w:ascii="Times New Roman" w:hAnsi="Times New Roman"/>
          <w:sz w:val="24"/>
          <w:szCs w:val="24"/>
        </w:rPr>
        <w:t xml:space="preserve">akin to the golden principle of not using </w:t>
      </w:r>
      <w:r w:rsidR="007C5E16" w:rsidRPr="007973E2">
        <w:rPr>
          <w:rFonts w:ascii="Times New Roman" w:hAnsi="Times New Roman"/>
          <w:sz w:val="24"/>
          <w:szCs w:val="24"/>
        </w:rPr>
        <w:t xml:space="preserve">borrowed resources </w:t>
      </w:r>
      <w:r w:rsidR="003C2A63" w:rsidRPr="007973E2">
        <w:rPr>
          <w:rFonts w:ascii="Times New Roman" w:hAnsi="Times New Roman"/>
          <w:sz w:val="24"/>
          <w:szCs w:val="24"/>
        </w:rPr>
        <w:t xml:space="preserve">for financing recurrent expenditure. </w:t>
      </w:r>
    </w:p>
    <w:p w:rsidR="00F922FC" w:rsidRDefault="00F922FC" w:rsidP="00F922FC">
      <w:pPr>
        <w:spacing w:after="0" w:line="360" w:lineRule="auto"/>
        <w:jc w:val="both"/>
        <w:rPr>
          <w:rFonts w:ascii="Times New Roman" w:hAnsi="Times New Roman"/>
          <w:sz w:val="24"/>
          <w:szCs w:val="24"/>
        </w:rPr>
      </w:pPr>
    </w:p>
    <w:p w:rsidR="007C5E16" w:rsidRDefault="007C5E16" w:rsidP="00F922FC">
      <w:pPr>
        <w:spacing w:after="0" w:line="360" w:lineRule="auto"/>
        <w:jc w:val="both"/>
        <w:rPr>
          <w:rFonts w:ascii="Times New Roman" w:hAnsi="Times New Roman"/>
          <w:sz w:val="24"/>
          <w:szCs w:val="24"/>
        </w:rPr>
      </w:pPr>
      <w:r w:rsidRPr="007973E2">
        <w:rPr>
          <w:rFonts w:ascii="Times New Roman" w:hAnsi="Times New Roman"/>
          <w:sz w:val="24"/>
          <w:szCs w:val="24"/>
        </w:rPr>
        <w:t xml:space="preserve">The debt stock as percentage of GSDP </w:t>
      </w:r>
      <w:r w:rsidR="003C2A63" w:rsidRPr="007973E2">
        <w:rPr>
          <w:rFonts w:ascii="Times New Roman" w:hAnsi="Times New Roman"/>
          <w:sz w:val="24"/>
          <w:szCs w:val="24"/>
        </w:rPr>
        <w:t>at</w:t>
      </w:r>
      <w:r w:rsidR="00590679" w:rsidRPr="007973E2">
        <w:rPr>
          <w:rFonts w:ascii="Times New Roman" w:hAnsi="Times New Roman"/>
          <w:sz w:val="24"/>
          <w:szCs w:val="24"/>
        </w:rPr>
        <w:t xml:space="preserve"> </w:t>
      </w:r>
      <w:r w:rsidRPr="007973E2">
        <w:rPr>
          <w:rFonts w:ascii="Times New Roman" w:hAnsi="Times New Roman"/>
          <w:sz w:val="24"/>
          <w:szCs w:val="24"/>
        </w:rPr>
        <w:t>2</w:t>
      </w:r>
      <w:r w:rsidR="00D20F2A">
        <w:rPr>
          <w:rFonts w:ascii="Times New Roman" w:hAnsi="Times New Roman"/>
          <w:sz w:val="24"/>
          <w:szCs w:val="24"/>
        </w:rPr>
        <w:t xml:space="preserve">2.80 </w:t>
      </w:r>
      <w:r w:rsidRPr="007973E2">
        <w:rPr>
          <w:rFonts w:ascii="Times New Roman" w:hAnsi="Times New Roman"/>
          <w:sz w:val="24"/>
          <w:szCs w:val="24"/>
        </w:rPr>
        <w:t>percent in 201</w:t>
      </w:r>
      <w:r w:rsidR="00D20F2A">
        <w:rPr>
          <w:rFonts w:ascii="Times New Roman" w:hAnsi="Times New Roman"/>
          <w:sz w:val="24"/>
          <w:szCs w:val="24"/>
        </w:rPr>
        <w:t xml:space="preserve">9-20 </w:t>
      </w:r>
      <w:r w:rsidR="0025087E" w:rsidRPr="007973E2">
        <w:rPr>
          <w:rFonts w:ascii="Times New Roman" w:hAnsi="Times New Roman"/>
          <w:sz w:val="24"/>
          <w:szCs w:val="24"/>
        </w:rPr>
        <w:t>satisfies the test of prudency as suggested by the FC</w:t>
      </w:r>
      <w:r w:rsidR="00D61472" w:rsidRPr="007973E2">
        <w:rPr>
          <w:rFonts w:ascii="Times New Roman" w:hAnsi="Times New Roman"/>
          <w:sz w:val="24"/>
          <w:szCs w:val="24"/>
        </w:rPr>
        <w:t>-XIV</w:t>
      </w:r>
      <w:r w:rsidR="0025087E" w:rsidRPr="007973E2">
        <w:rPr>
          <w:rFonts w:ascii="Times New Roman" w:hAnsi="Times New Roman"/>
          <w:sz w:val="24"/>
          <w:szCs w:val="24"/>
        </w:rPr>
        <w:t>.</w:t>
      </w:r>
      <w:r w:rsidR="00590679" w:rsidRPr="007973E2">
        <w:rPr>
          <w:rFonts w:ascii="Times New Roman" w:hAnsi="Times New Roman"/>
          <w:sz w:val="24"/>
          <w:szCs w:val="24"/>
        </w:rPr>
        <w:t xml:space="preserve"> </w:t>
      </w:r>
      <w:r w:rsidR="007A6336">
        <w:rPr>
          <w:rFonts w:ascii="Times New Roman" w:hAnsi="Times New Roman"/>
          <w:sz w:val="24"/>
          <w:szCs w:val="24"/>
        </w:rPr>
        <w:t xml:space="preserve">High fiscal deficit of 2019-20 should not be repeated, which will make the debt management unsustainable. </w:t>
      </w:r>
    </w:p>
    <w:p w:rsidR="007A6336" w:rsidRDefault="007A6336" w:rsidP="00F922FC">
      <w:pPr>
        <w:spacing w:after="0" w:line="360" w:lineRule="auto"/>
        <w:jc w:val="both"/>
        <w:rPr>
          <w:rFonts w:ascii="Times New Roman" w:hAnsi="Times New Roman"/>
          <w:sz w:val="24"/>
          <w:szCs w:val="24"/>
        </w:rPr>
      </w:pPr>
    </w:p>
    <w:p w:rsidR="007A6336" w:rsidRPr="007973E2" w:rsidRDefault="007A6336" w:rsidP="00F922FC">
      <w:pPr>
        <w:spacing w:after="0" w:line="360" w:lineRule="auto"/>
        <w:jc w:val="both"/>
        <w:rPr>
          <w:rFonts w:ascii="Times New Roman" w:hAnsi="Times New Roman"/>
          <w:sz w:val="24"/>
          <w:szCs w:val="24"/>
        </w:rPr>
      </w:pPr>
      <w:r>
        <w:rPr>
          <w:rFonts w:ascii="Times New Roman" w:hAnsi="Times New Roman"/>
          <w:sz w:val="24"/>
          <w:szCs w:val="24"/>
        </w:rPr>
        <w:t xml:space="preserve">The state government kept the guarantees within the limit set under the Guarantees Act of 2000. As borrowing under letter of comfort given to </w:t>
      </w:r>
      <w:r w:rsidRPr="007A6336">
        <w:rPr>
          <w:rFonts w:ascii="Times New Roman" w:hAnsi="Times New Roman"/>
          <w:sz w:val="24"/>
          <w:szCs w:val="24"/>
        </w:rPr>
        <w:t>SPICL</w:t>
      </w:r>
      <w:r>
        <w:rPr>
          <w:rFonts w:ascii="Times New Roman" w:hAnsi="Times New Roman"/>
          <w:sz w:val="24"/>
          <w:szCs w:val="24"/>
        </w:rPr>
        <w:t xml:space="preserve"> Stage III is accounted for under the guarantees, the aggregate guarantee in 2019 has come very close the limits under the Act. This issue meds to be considered as fiscal risk in future year fiscal management.</w:t>
      </w:r>
    </w:p>
    <w:p w:rsidR="007C5E16" w:rsidRDefault="007C5E16" w:rsidP="007A6336">
      <w:pPr>
        <w:spacing w:after="0" w:line="360" w:lineRule="auto"/>
        <w:jc w:val="both"/>
        <w:rPr>
          <w:rFonts w:ascii="Times New Roman" w:hAnsi="Times New Roman"/>
          <w:sz w:val="24"/>
          <w:szCs w:val="24"/>
        </w:rPr>
      </w:pPr>
    </w:p>
    <w:p w:rsidR="007A6336" w:rsidRDefault="007A6336" w:rsidP="007A6336">
      <w:pPr>
        <w:spacing w:after="0" w:line="360" w:lineRule="auto"/>
        <w:jc w:val="both"/>
        <w:rPr>
          <w:rFonts w:ascii="Times New Roman" w:hAnsi="Times New Roman"/>
          <w:sz w:val="24"/>
          <w:szCs w:val="24"/>
        </w:rPr>
      </w:pPr>
      <w:r>
        <w:rPr>
          <w:rFonts w:ascii="Times New Roman" w:hAnsi="Times New Roman"/>
          <w:sz w:val="24"/>
          <w:szCs w:val="24"/>
        </w:rPr>
        <w:t xml:space="preserve">Entire borrowed funds are utilized to create capital assets where the revenue account is balanced. If there is any surplus in the revenue account, that is used in capital outlay. As the revenue account </w:t>
      </w:r>
      <w:r w:rsidR="004C034B">
        <w:rPr>
          <w:rFonts w:ascii="Times New Roman" w:hAnsi="Times New Roman"/>
          <w:sz w:val="24"/>
          <w:szCs w:val="24"/>
        </w:rPr>
        <w:t>was deep in deficit in 2019-20 and constituted about 64 percent of fiscal deficit, a part of the borrowed fund is utilized to finance revenue account deficit.</w:t>
      </w:r>
    </w:p>
    <w:p w:rsidR="004C034B" w:rsidRDefault="004C034B" w:rsidP="007A6336">
      <w:pPr>
        <w:spacing w:after="0" w:line="360" w:lineRule="auto"/>
        <w:jc w:val="both"/>
        <w:rPr>
          <w:rFonts w:ascii="Times New Roman" w:hAnsi="Times New Roman"/>
          <w:sz w:val="24"/>
          <w:szCs w:val="24"/>
        </w:rPr>
      </w:pPr>
    </w:p>
    <w:p w:rsidR="007C5E16" w:rsidRPr="0032699E" w:rsidRDefault="000D1450" w:rsidP="007C5E16">
      <w:pPr>
        <w:spacing w:after="0" w:line="360" w:lineRule="auto"/>
        <w:jc w:val="both"/>
        <w:rPr>
          <w:rFonts w:ascii="Times New Roman" w:eastAsia="Times New Roman" w:hAnsi="Times New Roman"/>
          <w:b/>
          <w:i/>
          <w:sz w:val="24"/>
          <w:szCs w:val="24"/>
        </w:rPr>
      </w:pPr>
      <w:r w:rsidRPr="0032699E">
        <w:rPr>
          <w:rFonts w:ascii="Times New Roman" w:eastAsia="Times New Roman" w:hAnsi="Times New Roman"/>
          <w:b/>
          <w:i/>
          <w:sz w:val="24"/>
          <w:szCs w:val="24"/>
        </w:rPr>
        <w:t xml:space="preserve">Simplifying </w:t>
      </w:r>
      <w:r w:rsidR="007C5E16" w:rsidRPr="0032699E">
        <w:rPr>
          <w:rFonts w:ascii="Times New Roman" w:eastAsia="Times New Roman" w:hAnsi="Times New Roman"/>
          <w:b/>
          <w:i/>
          <w:sz w:val="24"/>
          <w:szCs w:val="24"/>
        </w:rPr>
        <w:t>Tax Policy and Administration</w:t>
      </w:r>
    </w:p>
    <w:p w:rsidR="00C713BA" w:rsidRDefault="00C713BA" w:rsidP="00743BEA">
      <w:pPr>
        <w:spacing w:after="0" w:line="360" w:lineRule="auto"/>
        <w:jc w:val="both"/>
        <w:rPr>
          <w:rFonts w:ascii="Times New Roman" w:eastAsia="Times New Roman" w:hAnsi="Times New Roman"/>
          <w:sz w:val="24"/>
          <w:szCs w:val="24"/>
        </w:rPr>
      </w:pPr>
    </w:p>
    <w:p w:rsidR="002A5128" w:rsidRDefault="003C7601" w:rsidP="00743BEA">
      <w:pPr>
        <w:spacing w:after="0" w:line="360" w:lineRule="auto"/>
        <w:jc w:val="both"/>
        <w:rPr>
          <w:rFonts w:ascii="Times New Roman" w:eastAsia="Times New Roman" w:hAnsi="Times New Roman"/>
          <w:sz w:val="24"/>
          <w:szCs w:val="24"/>
        </w:rPr>
      </w:pPr>
      <w:r w:rsidRPr="00855C7D">
        <w:rPr>
          <w:rFonts w:ascii="Times New Roman" w:eastAsia="Times New Roman" w:hAnsi="Times New Roman"/>
          <w:sz w:val="24"/>
          <w:szCs w:val="24"/>
        </w:rPr>
        <w:t xml:space="preserve">The FRBM Act requires the State Government to maintain </w:t>
      </w:r>
      <w:r w:rsidRPr="00FC7D42">
        <w:rPr>
          <w:rFonts w:ascii="Times New Roman" w:eastAsia="Times New Roman" w:hAnsi="Times New Roman"/>
          <w:sz w:val="24"/>
          <w:szCs w:val="24"/>
        </w:rPr>
        <w:t xml:space="preserve">integrity of the tax system by minimizing </w:t>
      </w:r>
      <w:r w:rsidR="000D1450">
        <w:rPr>
          <w:rFonts w:ascii="Times New Roman" w:eastAsia="Times New Roman" w:hAnsi="Times New Roman"/>
          <w:sz w:val="24"/>
          <w:szCs w:val="24"/>
        </w:rPr>
        <w:t xml:space="preserve">discretionary policies like </w:t>
      </w:r>
      <w:r w:rsidRPr="00FC7D42">
        <w:rPr>
          <w:rFonts w:ascii="Times New Roman" w:eastAsia="Times New Roman" w:hAnsi="Times New Roman"/>
          <w:sz w:val="24"/>
          <w:szCs w:val="24"/>
        </w:rPr>
        <w:t xml:space="preserve">special incentives, concessions and exemptions. It also </w:t>
      </w:r>
      <w:r w:rsidR="00B52AA3">
        <w:rPr>
          <w:rFonts w:ascii="Times New Roman" w:eastAsia="Times New Roman" w:hAnsi="Times New Roman"/>
          <w:sz w:val="24"/>
          <w:szCs w:val="24"/>
        </w:rPr>
        <w:t xml:space="preserve">emphasizes on </w:t>
      </w:r>
      <w:r w:rsidRPr="00FC7D42">
        <w:rPr>
          <w:rFonts w:ascii="Times New Roman" w:eastAsia="Times New Roman" w:hAnsi="Times New Roman"/>
          <w:sz w:val="24"/>
          <w:szCs w:val="24"/>
        </w:rPr>
        <w:t>pursu</w:t>
      </w:r>
      <w:r w:rsidR="00B52AA3">
        <w:rPr>
          <w:rFonts w:ascii="Times New Roman" w:eastAsia="Times New Roman" w:hAnsi="Times New Roman"/>
          <w:sz w:val="24"/>
          <w:szCs w:val="24"/>
        </w:rPr>
        <w:t xml:space="preserve">ing </w:t>
      </w:r>
      <w:r w:rsidRPr="00855C7D">
        <w:rPr>
          <w:rFonts w:ascii="Times New Roman" w:eastAsia="Times New Roman" w:hAnsi="Times New Roman"/>
          <w:sz w:val="24"/>
          <w:szCs w:val="24"/>
        </w:rPr>
        <w:t xml:space="preserve">the tax policy with due regard to economic efficiency and </w:t>
      </w:r>
      <w:r w:rsidRPr="004F7A0C">
        <w:rPr>
          <w:rFonts w:ascii="Times New Roman" w:eastAsia="Times New Roman" w:hAnsi="Times New Roman"/>
          <w:sz w:val="24"/>
          <w:szCs w:val="24"/>
        </w:rPr>
        <w:t xml:space="preserve">compliance cost. </w:t>
      </w:r>
      <w:r w:rsidR="002A5128" w:rsidRPr="002A5128">
        <w:rPr>
          <w:rFonts w:ascii="Times New Roman" w:eastAsia="Times New Roman" w:hAnsi="Times New Roman"/>
          <w:sz w:val="24"/>
          <w:szCs w:val="24"/>
        </w:rPr>
        <w:t xml:space="preserve">Collecting sufficient revenues to carry out functional responsibilities without distorting economic decisions of people relative to saving and consumption and market behavior imparts economic efficiency to the tax system. </w:t>
      </w:r>
    </w:p>
    <w:p w:rsidR="002A5128" w:rsidRDefault="002A5128" w:rsidP="00743BEA">
      <w:pPr>
        <w:spacing w:after="0" w:line="360" w:lineRule="auto"/>
        <w:jc w:val="both"/>
        <w:rPr>
          <w:rFonts w:ascii="Times New Roman" w:eastAsia="Times New Roman" w:hAnsi="Times New Roman"/>
          <w:sz w:val="24"/>
          <w:szCs w:val="24"/>
        </w:rPr>
      </w:pPr>
    </w:p>
    <w:p w:rsidR="003C7601" w:rsidRDefault="000D1450" w:rsidP="00D546A1">
      <w:pPr>
        <w:spacing w:after="0" w:line="360" w:lineRule="auto"/>
        <w:jc w:val="both"/>
        <w:rPr>
          <w:rFonts w:ascii="Times New Roman" w:hAnsi="Times New Roman"/>
          <w:sz w:val="24"/>
          <w:szCs w:val="24"/>
        </w:rPr>
      </w:pPr>
      <w:r>
        <w:rPr>
          <w:rFonts w:ascii="Times New Roman" w:eastAsia="Times New Roman" w:hAnsi="Times New Roman"/>
          <w:sz w:val="24"/>
          <w:szCs w:val="24"/>
        </w:rPr>
        <w:t>O</w:t>
      </w:r>
      <w:r w:rsidR="003C7601" w:rsidRPr="004F7A0C">
        <w:rPr>
          <w:rFonts w:ascii="Times New Roman" w:eastAsia="Times New Roman" w:hAnsi="Times New Roman"/>
          <w:sz w:val="24"/>
          <w:szCs w:val="24"/>
        </w:rPr>
        <w:t xml:space="preserve">wn </w:t>
      </w:r>
      <w:r w:rsidR="003C7601">
        <w:rPr>
          <w:rFonts w:ascii="Times New Roman" w:eastAsia="Times New Roman" w:hAnsi="Times New Roman"/>
          <w:sz w:val="24"/>
          <w:szCs w:val="24"/>
        </w:rPr>
        <w:t>t</w:t>
      </w:r>
      <w:r w:rsidR="003C7601" w:rsidRPr="004F7A0C">
        <w:rPr>
          <w:rFonts w:ascii="Times New Roman" w:eastAsia="Times New Roman" w:hAnsi="Times New Roman"/>
          <w:sz w:val="24"/>
          <w:szCs w:val="24"/>
        </w:rPr>
        <w:t>ax revenue</w:t>
      </w:r>
      <w:r>
        <w:rPr>
          <w:rFonts w:ascii="Times New Roman" w:eastAsia="Times New Roman" w:hAnsi="Times New Roman"/>
          <w:sz w:val="24"/>
          <w:szCs w:val="24"/>
        </w:rPr>
        <w:t xml:space="preserve"> constitute</w:t>
      </w:r>
      <w:r w:rsidR="000956A7">
        <w:rPr>
          <w:rFonts w:ascii="Times New Roman" w:eastAsia="Times New Roman" w:hAnsi="Times New Roman"/>
          <w:sz w:val="24"/>
          <w:szCs w:val="24"/>
        </w:rPr>
        <w:t>d</w:t>
      </w:r>
      <w:r>
        <w:rPr>
          <w:rFonts w:ascii="Times New Roman" w:eastAsia="Times New Roman" w:hAnsi="Times New Roman"/>
          <w:sz w:val="24"/>
          <w:szCs w:val="24"/>
        </w:rPr>
        <w:t xml:space="preserve"> about 1</w:t>
      </w:r>
      <w:r w:rsidR="000956A7">
        <w:rPr>
          <w:rFonts w:ascii="Times New Roman" w:eastAsia="Times New Roman" w:hAnsi="Times New Roman"/>
          <w:sz w:val="24"/>
          <w:szCs w:val="24"/>
        </w:rPr>
        <w:t>6</w:t>
      </w:r>
      <w:r>
        <w:rPr>
          <w:rFonts w:ascii="Times New Roman" w:eastAsia="Times New Roman" w:hAnsi="Times New Roman"/>
          <w:sz w:val="24"/>
          <w:szCs w:val="24"/>
        </w:rPr>
        <w:t xml:space="preserve"> percent of total revenue receipts </w:t>
      </w:r>
      <w:r w:rsidR="000956A7">
        <w:rPr>
          <w:rFonts w:ascii="Times New Roman" w:eastAsia="Times New Roman" w:hAnsi="Times New Roman"/>
          <w:sz w:val="24"/>
          <w:szCs w:val="24"/>
        </w:rPr>
        <w:t xml:space="preserve">in 2018-19, which </w:t>
      </w:r>
      <w:r w:rsidR="00692304">
        <w:rPr>
          <w:rFonts w:ascii="Times New Roman" w:eastAsia="Times New Roman" w:hAnsi="Times New Roman"/>
          <w:sz w:val="24"/>
          <w:szCs w:val="24"/>
        </w:rPr>
        <w:t xml:space="preserve">increased to 20 percent in 2019-20. The change in relative share was more due to sharp </w:t>
      </w:r>
      <w:r w:rsidR="00692304">
        <w:rPr>
          <w:rFonts w:ascii="Times New Roman" w:eastAsia="Times New Roman" w:hAnsi="Times New Roman"/>
          <w:sz w:val="24"/>
          <w:szCs w:val="24"/>
        </w:rPr>
        <w:lastRenderedPageBreak/>
        <w:t xml:space="preserve">deterioration in central transfers. As percentage to GSDP, it declined from 3.54 percent to 2.99 percent (Figure 4.1).  </w:t>
      </w:r>
      <w:r w:rsidR="003C7601" w:rsidRPr="004F7A0C">
        <w:rPr>
          <w:rFonts w:ascii="Times New Roman" w:hAnsi="Times New Roman"/>
          <w:sz w:val="24"/>
          <w:szCs w:val="24"/>
        </w:rPr>
        <w:t xml:space="preserve">One of the important features of a good tax system is to </w:t>
      </w:r>
      <w:r w:rsidR="003C7601" w:rsidRPr="004F7A0C">
        <w:rPr>
          <w:rFonts w:ascii="Times New Roman" w:eastAsia="Times New Roman" w:hAnsi="Times New Roman"/>
          <w:sz w:val="24"/>
          <w:szCs w:val="24"/>
        </w:rPr>
        <w:t xml:space="preserve">maintain stability and predictability in the level of tax burden. </w:t>
      </w:r>
      <w:r w:rsidR="00D546A1">
        <w:rPr>
          <w:rFonts w:ascii="Times New Roman" w:eastAsia="Times New Roman" w:hAnsi="Times New Roman"/>
          <w:sz w:val="24"/>
          <w:szCs w:val="24"/>
        </w:rPr>
        <w:t>T</w:t>
      </w:r>
      <w:r w:rsidR="003C7601">
        <w:rPr>
          <w:rFonts w:ascii="Times New Roman" w:eastAsia="Times New Roman" w:hAnsi="Times New Roman"/>
          <w:sz w:val="24"/>
          <w:szCs w:val="24"/>
        </w:rPr>
        <w:t xml:space="preserve">here </w:t>
      </w:r>
      <w:r w:rsidR="00A5498C">
        <w:rPr>
          <w:rFonts w:ascii="Times New Roman" w:eastAsia="Times New Roman" w:hAnsi="Times New Roman"/>
          <w:sz w:val="24"/>
          <w:szCs w:val="24"/>
        </w:rPr>
        <w:t>have</w:t>
      </w:r>
      <w:r w:rsidR="00D546A1">
        <w:rPr>
          <w:rFonts w:ascii="Times New Roman" w:eastAsia="Times New Roman" w:hAnsi="Times New Roman"/>
          <w:sz w:val="24"/>
          <w:szCs w:val="24"/>
        </w:rPr>
        <w:t xml:space="preserve"> </w:t>
      </w:r>
      <w:r w:rsidR="003C7601" w:rsidRPr="00855C7D">
        <w:rPr>
          <w:rFonts w:ascii="Times New Roman" w:eastAsia="Times New Roman" w:hAnsi="Times New Roman"/>
          <w:sz w:val="24"/>
          <w:szCs w:val="24"/>
        </w:rPr>
        <w:t xml:space="preserve">not been many changes in tax rate of individual State taxes. </w:t>
      </w:r>
      <w:r>
        <w:rPr>
          <w:rFonts w:ascii="Times New Roman" w:eastAsia="Times New Roman" w:hAnsi="Times New Roman"/>
          <w:sz w:val="24"/>
          <w:szCs w:val="24"/>
        </w:rPr>
        <w:t>While, t</w:t>
      </w:r>
      <w:r w:rsidR="003C7601" w:rsidRPr="00855C7D">
        <w:rPr>
          <w:rFonts w:ascii="Times New Roman" w:eastAsia="Times New Roman" w:hAnsi="Times New Roman"/>
          <w:sz w:val="24"/>
          <w:szCs w:val="24"/>
        </w:rPr>
        <w:t>he VAT regime, introduced in 2005</w:t>
      </w:r>
      <w:r>
        <w:rPr>
          <w:rFonts w:ascii="Times New Roman" w:eastAsia="Times New Roman" w:hAnsi="Times New Roman"/>
          <w:sz w:val="24"/>
          <w:szCs w:val="24"/>
        </w:rPr>
        <w:t xml:space="preserve"> </w:t>
      </w:r>
      <w:r w:rsidR="003C7601" w:rsidRPr="00855C7D">
        <w:rPr>
          <w:rFonts w:ascii="Times New Roman" w:eastAsia="Times New Roman" w:hAnsi="Times New Roman"/>
          <w:sz w:val="24"/>
          <w:szCs w:val="24"/>
        </w:rPr>
        <w:t>ha</w:t>
      </w:r>
      <w:r>
        <w:rPr>
          <w:rFonts w:ascii="Times New Roman" w:eastAsia="Times New Roman" w:hAnsi="Times New Roman"/>
          <w:sz w:val="24"/>
          <w:szCs w:val="24"/>
        </w:rPr>
        <w:t>d</w:t>
      </w:r>
      <w:r w:rsidR="003C7601" w:rsidRPr="00855C7D">
        <w:rPr>
          <w:rFonts w:ascii="Times New Roman" w:eastAsia="Times New Roman" w:hAnsi="Times New Roman"/>
          <w:sz w:val="24"/>
          <w:szCs w:val="24"/>
        </w:rPr>
        <w:t xml:space="preserve"> stabilized in terms of rate and base structure in the State</w:t>
      </w:r>
      <w:r>
        <w:rPr>
          <w:rFonts w:ascii="Times New Roman" w:eastAsia="Times New Roman" w:hAnsi="Times New Roman"/>
          <w:sz w:val="24"/>
          <w:szCs w:val="24"/>
        </w:rPr>
        <w:t xml:space="preserve">, the newly introduced </w:t>
      </w:r>
      <w:r w:rsidR="00B52AA3">
        <w:rPr>
          <w:rFonts w:ascii="Times New Roman" w:eastAsia="Times New Roman" w:hAnsi="Times New Roman"/>
          <w:sz w:val="24"/>
          <w:szCs w:val="24"/>
        </w:rPr>
        <w:t xml:space="preserve">GST </w:t>
      </w:r>
      <w:r w:rsidR="000956A7">
        <w:rPr>
          <w:rFonts w:ascii="Times New Roman" w:eastAsia="Times New Roman" w:hAnsi="Times New Roman"/>
          <w:sz w:val="24"/>
          <w:szCs w:val="24"/>
        </w:rPr>
        <w:t>has emerged as an important source of revenue for the government</w:t>
      </w:r>
      <w:r>
        <w:rPr>
          <w:rFonts w:ascii="Times New Roman" w:eastAsia="Times New Roman" w:hAnsi="Times New Roman"/>
          <w:sz w:val="24"/>
          <w:szCs w:val="24"/>
        </w:rPr>
        <w:t xml:space="preserve">. </w:t>
      </w:r>
      <w:r w:rsidR="00692304">
        <w:rPr>
          <w:rFonts w:ascii="Times New Roman" w:hAnsi="Times New Roman"/>
          <w:sz w:val="24"/>
          <w:szCs w:val="24"/>
        </w:rPr>
        <w:t xml:space="preserve">Decline in growth own tax revenue in 2019-20 is the precursor to more difficult year of Covid-19 affected 2020-21. </w:t>
      </w:r>
      <w:r w:rsidR="003C7601" w:rsidRPr="00601F1B">
        <w:rPr>
          <w:rFonts w:ascii="Times New Roman" w:hAnsi="Times New Roman"/>
          <w:sz w:val="24"/>
          <w:szCs w:val="24"/>
        </w:rPr>
        <w:t xml:space="preserve"> </w:t>
      </w:r>
    </w:p>
    <w:p w:rsidR="00B52AA3" w:rsidRDefault="00B52AA3" w:rsidP="003C7601">
      <w:pPr>
        <w:spacing w:after="0" w:line="360" w:lineRule="auto"/>
        <w:ind w:firstLine="720"/>
        <w:jc w:val="both"/>
        <w:rPr>
          <w:rFonts w:ascii="Times New Roman" w:hAnsi="Times New Roman"/>
          <w:sz w:val="24"/>
          <w:szCs w:val="24"/>
        </w:rPr>
      </w:pPr>
    </w:p>
    <w:p w:rsidR="003C7601" w:rsidRPr="00FC7D42" w:rsidRDefault="003C7601" w:rsidP="003C7601">
      <w:pPr>
        <w:spacing w:after="0" w:line="240" w:lineRule="auto"/>
        <w:ind w:firstLine="720"/>
        <w:jc w:val="center"/>
        <w:rPr>
          <w:rFonts w:ascii="Times New Roman" w:hAnsi="Times New Roman"/>
          <w:b/>
        </w:rPr>
      </w:pPr>
      <w:r w:rsidRPr="00FC7D42">
        <w:rPr>
          <w:rFonts w:ascii="Times New Roman" w:hAnsi="Times New Roman"/>
          <w:b/>
        </w:rPr>
        <w:t xml:space="preserve">Figure </w:t>
      </w:r>
      <w:r w:rsidR="0032699E">
        <w:rPr>
          <w:rFonts w:ascii="Times New Roman" w:hAnsi="Times New Roman"/>
          <w:b/>
        </w:rPr>
        <w:t>4.1</w:t>
      </w:r>
    </w:p>
    <w:p w:rsidR="003C7601" w:rsidRDefault="003C7601" w:rsidP="003C7601">
      <w:pPr>
        <w:spacing w:after="0" w:line="240" w:lineRule="auto"/>
        <w:ind w:firstLine="720"/>
        <w:jc w:val="center"/>
        <w:rPr>
          <w:rFonts w:ascii="Times New Roman" w:hAnsi="Times New Roman"/>
          <w:b/>
        </w:rPr>
      </w:pPr>
      <w:r w:rsidRPr="00FC7D42">
        <w:rPr>
          <w:rFonts w:ascii="Times New Roman" w:hAnsi="Times New Roman"/>
          <w:b/>
        </w:rPr>
        <w:t>Own Tax Revenue as Percentage of GSDP</w:t>
      </w:r>
    </w:p>
    <w:p w:rsidR="00B52AA3" w:rsidRDefault="00B52AA3" w:rsidP="003C7601">
      <w:pPr>
        <w:spacing w:after="0" w:line="240" w:lineRule="auto"/>
        <w:ind w:firstLine="720"/>
        <w:jc w:val="center"/>
        <w:rPr>
          <w:rFonts w:ascii="Times New Roman" w:hAnsi="Times New Roman"/>
          <w:b/>
        </w:rPr>
      </w:pPr>
    </w:p>
    <w:p w:rsidR="003C7601" w:rsidRDefault="000A03BC" w:rsidP="00D546A1">
      <w:pPr>
        <w:tabs>
          <w:tab w:val="left" w:pos="3299"/>
        </w:tabs>
        <w:jc w:val="center"/>
        <w:rPr>
          <w:lang w:val="en-IN"/>
        </w:rPr>
      </w:pPr>
      <w:r>
        <w:rPr>
          <w:noProof/>
          <w:lang w:val="en-IN" w:eastAsia="en-IN"/>
        </w:rPr>
        <w:drawing>
          <wp:inline distT="0" distB="0" distL="0" distR="0" wp14:anchorId="506766DB" wp14:editId="553E9C75">
            <wp:extent cx="4814208" cy="2547256"/>
            <wp:effectExtent l="0" t="0" r="571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val="en-IN" w:eastAsia="en-IN"/>
        </w:rPr>
        <w:t xml:space="preserve"> </w:t>
      </w:r>
    </w:p>
    <w:p w:rsidR="00692304" w:rsidRDefault="00692304" w:rsidP="00692304">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w:t>
      </w:r>
      <w:r w:rsidRPr="007B33D0">
        <w:rPr>
          <w:rFonts w:ascii="Times New Roman" w:eastAsia="Times New Roman" w:hAnsi="Times New Roman"/>
          <w:sz w:val="24"/>
          <w:szCs w:val="24"/>
        </w:rPr>
        <w:t>ost recovery and equity</w:t>
      </w:r>
      <w:r>
        <w:rPr>
          <w:rFonts w:ascii="Times New Roman" w:eastAsia="Times New Roman" w:hAnsi="Times New Roman"/>
          <w:sz w:val="24"/>
          <w:szCs w:val="24"/>
        </w:rPr>
        <w:t xml:space="preserve"> have been the core themes in the case of non-tax revenues according the fiscal management principles enunciated in</w:t>
      </w:r>
      <w:r w:rsidRPr="007B33D0">
        <w:rPr>
          <w:rFonts w:ascii="Times New Roman" w:eastAsia="Times New Roman" w:hAnsi="Times New Roman"/>
          <w:sz w:val="24"/>
          <w:szCs w:val="24"/>
        </w:rPr>
        <w:t xml:space="preserve"> FRBM Act</w:t>
      </w:r>
      <w:r>
        <w:rPr>
          <w:rFonts w:ascii="Times New Roman" w:eastAsia="Times New Roman" w:hAnsi="Times New Roman"/>
          <w:sz w:val="24"/>
          <w:szCs w:val="24"/>
        </w:rPr>
        <w:t>.</w:t>
      </w:r>
      <w:r w:rsidRPr="007B33D0">
        <w:rPr>
          <w:rFonts w:ascii="Times New Roman" w:eastAsia="Times New Roman" w:hAnsi="Times New Roman"/>
          <w:sz w:val="24"/>
          <w:szCs w:val="24"/>
        </w:rPr>
        <w:t xml:space="preserve"> </w:t>
      </w:r>
      <w:r>
        <w:rPr>
          <w:rFonts w:ascii="Times New Roman" w:eastAsia="Times New Roman" w:hAnsi="Times New Roman"/>
          <w:sz w:val="24"/>
          <w:szCs w:val="24"/>
        </w:rPr>
        <w:t>N</w:t>
      </w:r>
      <w:r w:rsidRPr="007B33D0">
        <w:rPr>
          <w:rFonts w:ascii="Times New Roman" w:eastAsia="Times New Roman" w:hAnsi="Times New Roman"/>
          <w:sz w:val="24"/>
          <w:szCs w:val="24"/>
        </w:rPr>
        <w:t xml:space="preserve">on-tax revenue of the </w:t>
      </w:r>
      <w:r>
        <w:rPr>
          <w:rFonts w:ascii="Times New Roman" w:eastAsia="Times New Roman" w:hAnsi="Times New Roman"/>
          <w:sz w:val="24"/>
          <w:szCs w:val="24"/>
        </w:rPr>
        <w:t>s</w:t>
      </w:r>
      <w:r w:rsidRPr="007B33D0">
        <w:rPr>
          <w:rFonts w:ascii="Times New Roman" w:eastAsia="Times New Roman" w:hAnsi="Times New Roman"/>
          <w:sz w:val="24"/>
          <w:szCs w:val="24"/>
        </w:rPr>
        <w:t>tate</w:t>
      </w:r>
      <w:r>
        <w:rPr>
          <w:rFonts w:ascii="Times New Roman" w:eastAsia="Times New Roman" w:hAnsi="Times New Roman"/>
          <w:sz w:val="24"/>
          <w:szCs w:val="24"/>
        </w:rPr>
        <w:t xml:space="preserve"> on an average contributes about 10 percent to the aggregate revenue receipt. The major share of non-tax revenue of the State comes from provision of electricity and transport and lottery operation. In addition to these sources, the non-tax revenue includes income from interest earnings, police, and forestry. The lottery income has not proved to be stable source of income. </w:t>
      </w:r>
      <w:r w:rsidRPr="007B33D0">
        <w:rPr>
          <w:rFonts w:ascii="Times New Roman" w:eastAsia="Times New Roman" w:hAnsi="Times New Roman"/>
          <w:sz w:val="24"/>
          <w:szCs w:val="24"/>
        </w:rPr>
        <w:t xml:space="preserve">The scope for reducing subsidy and improving cost </w:t>
      </w:r>
      <w:r>
        <w:rPr>
          <w:rFonts w:ascii="Times New Roman" w:eastAsia="Times New Roman" w:hAnsi="Times New Roman"/>
          <w:sz w:val="24"/>
          <w:szCs w:val="24"/>
        </w:rPr>
        <w:t xml:space="preserve">of </w:t>
      </w:r>
      <w:r w:rsidRPr="007B33D0">
        <w:rPr>
          <w:rFonts w:ascii="Times New Roman" w:eastAsia="Times New Roman" w:hAnsi="Times New Roman"/>
          <w:sz w:val="24"/>
          <w:szCs w:val="24"/>
        </w:rPr>
        <w:t xml:space="preserve">recovery from other services provided by the </w:t>
      </w:r>
      <w:r>
        <w:rPr>
          <w:rFonts w:ascii="Times New Roman" w:eastAsia="Times New Roman" w:hAnsi="Times New Roman"/>
          <w:sz w:val="24"/>
          <w:szCs w:val="24"/>
        </w:rPr>
        <w:t>g</w:t>
      </w:r>
      <w:r w:rsidRPr="007B33D0">
        <w:rPr>
          <w:rFonts w:ascii="Times New Roman" w:eastAsia="Times New Roman" w:hAnsi="Times New Roman"/>
          <w:sz w:val="24"/>
          <w:szCs w:val="24"/>
        </w:rPr>
        <w:t>overnment in the social and economic sectors see</w:t>
      </w:r>
      <w:r w:rsidR="005F48BA">
        <w:rPr>
          <w:rFonts w:ascii="Times New Roman" w:eastAsia="Times New Roman" w:hAnsi="Times New Roman"/>
          <w:sz w:val="24"/>
          <w:szCs w:val="24"/>
        </w:rPr>
        <w:t>ms to be limited. However, the g</w:t>
      </w:r>
      <w:r w:rsidRPr="007B33D0">
        <w:rPr>
          <w:rFonts w:ascii="Times New Roman" w:eastAsia="Times New Roman" w:hAnsi="Times New Roman"/>
          <w:sz w:val="24"/>
          <w:szCs w:val="24"/>
        </w:rPr>
        <w:t xml:space="preserve">overnment should make efforts to improve recovery cost in economic sectors by improving the quality of the service provided. </w:t>
      </w:r>
    </w:p>
    <w:p w:rsidR="00692304" w:rsidRDefault="00692304" w:rsidP="00692304">
      <w:pPr>
        <w:spacing w:after="0" w:line="360" w:lineRule="auto"/>
        <w:ind w:firstLine="720"/>
        <w:jc w:val="both"/>
        <w:rPr>
          <w:rFonts w:ascii="Times New Roman" w:hAnsi="Times New Roman"/>
          <w:sz w:val="24"/>
          <w:szCs w:val="24"/>
        </w:rPr>
      </w:pPr>
    </w:p>
    <w:p w:rsidR="00C713BA" w:rsidRDefault="00C713BA" w:rsidP="00692304">
      <w:pPr>
        <w:spacing w:after="0" w:line="360" w:lineRule="auto"/>
        <w:ind w:firstLine="720"/>
        <w:jc w:val="both"/>
        <w:rPr>
          <w:rFonts w:ascii="Times New Roman" w:hAnsi="Times New Roman"/>
          <w:sz w:val="24"/>
          <w:szCs w:val="24"/>
        </w:rPr>
      </w:pPr>
      <w:bookmarkStart w:id="1" w:name="_GoBack"/>
      <w:bookmarkEnd w:id="1"/>
    </w:p>
    <w:p w:rsidR="00997141" w:rsidRPr="004A73D3" w:rsidRDefault="00997141" w:rsidP="00C713BA">
      <w:pPr>
        <w:keepNext/>
        <w:spacing w:after="0" w:line="360" w:lineRule="auto"/>
        <w:jc w:val="both"/>
        <w:rPr>
          <w:rFonts w:ascii="Times New Roman" w:eastAsia="Times New Roman" w:hAnsi="Times New Roman"/>
          <w:b/>
          <w:i/>
          <w:sz w:val="24"/>
          <w:szCs w:val="24"/>
        </w:rPr>
      </w:pPr>
      <w:r w:rsidRPr="004A73D3">
        <w:rPr>
          <w:rFonts w:ascii="Times New Roman" w:eastAsia="Times New Roman" w:hAnsi="Times New Roman"/>
          <w:b/>
          <w:i/>
          <w:sz w:val="24"/>
          <w:szCs w:val="24"/>
        </w:rPr>
        <w:lastRenderedPageBreak/>
        <w:t>Expenditure Policy and Institutional Measures to Improve Quality of Expenditure</w:t>
      </w:r>
    </w:p>
    <w:p w:rsidR="00997141" w:rsidRDefault="00997141" w:rsidP="00997141">
      <w:pPr>
        <w:spacing w:after="0" w:line="360" w:lineRule="auto"/>
        <w:ind w:firstLine="720"/>
        <w:jc w:val="both"/>
        <w:rPr>
          <w:rFonts w:ascii="Times New Roman" w:hAnsi="Times New Roman"/>
          <w:sz w:val="24"/>
          <w:szCs w:val="24"/>
        </w:rPr>
      </w:pPr>
    </w:p>
    <w:p w:rsidR="00997141" w:rsidRDefault="00A5498C" w:rsidP="00A5498C">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997141" w:rsidRPr="00E74A5C">
        <w:rPr>
          <w:rFonts w:ascii="Times New Roman" w:eastAsia="Times New Roman" w:hAnsi="Times New Roman"/>
          <w:sz w:val="24"/>
          <w:szCs w:val="24"/>
        </w:rPr>
        <w:t xml:space="preserve">FRBM Act </w:t>
      </w:r>
      <w:r w:rsidR="00045C9D">
        <w:rPr>
          <w:rFonts w:ascii="Times New Roman" w:eastAsia="Times New Roman" w:hAnsi="Times New Roman"/>
          <w:sz w:val="24"/>
          <w:szCs w:val="24"/>
        </w:rPr>
        <w:t>calls upon the s</w:t>
      </w:r>
      <w:r w:rsidR="006A4568">
        <w:rPr>
          <w:rFonts w:ascii="Times New Roman" w:eastAsia="Times New Roman" w:hAnsi="Times New Roman"/>
          <w:sz w:val="24"/>
          <w:szCs w:val="24"/>
        </w:rPr>
        <w:t xml:space="preserve">tate </w:t>
      </w:r>
      <w:r w:rsidR="00045C9D">
        <w:rPr>
          <w:rFonts w:ascii="Times New Roman" w:eastAsia="Times New Roman" w:hAnsi="Times New Roman"/>
          <w:sz w:val="24"/>
          <w:szCs w:val="24"/>
        </w:rPr>
        <w:t>g</w:t>
      </w:r>
      <w:r w:rsidR="006A4568">
        <w:rPr>
          <w:rFonts w:ascii="Times New Roman" w:eastAsia="Times New Roman" w:hAnsi="Times New Roman"/>
          <w:sz w:val="24"/>
          <w:szCs w:val="24"/>
        </w:rPr>
        <w:t xml:space="preserve">overnment </w:t>
      </w:r>
      <w:r w:rsidR="00045C9D">
        <w:rPr>
          <w:rFonts w:ascii="Times New Roman" w:eastAsia="Times New Roman" w:hAnsi="Times New Roman"/>
          <w:sz w:val="24"/>
          <w:szCs w:val="24"/>
        </w:rPr>
        <w:t xml:space="preserve">to focus on </w:t>
      </w:r>
      <w:r w:rsidR="00997141">
        <w:rPr>
          <w:rFonts w:ascii="Times New Roman" w:eastAsia="Times New Roman" w:hAnsi="Times New Roman"/>
          <w:sz w:val="24"/>
          <w:szCs w:val="24"/>
        </w:rPr>
        <w:t>economic growth, poverty reduction, and improvement in human development</w:t>
      </w:r>
      <w:r w:rsidR="00045C9D">
        <w:rPr>
          <w:rFonts w:ascii="Times New Roman" w:eastAsia="Times New Roman" w:hAnsi="Times New Roman"/>
          <w:sz w:val="24"/>
          <w:szCs w:val="24"/>
        </w:rPr>
        <w:t xml:space="preserve"> in allocating resources</w:t>
      </w:r>
      <w:r w:rsidR="006A4568">
        <w:rPr>
          <w:rFonts w:ascii="Times New Roman" w:eastAsia="Times New Roman" w:hAnsi="Times New Roman"/>
          <w:sz w:val="24"/>
          <w:szCs w:val="24"/>
        </w:rPr>
        <w:t xml:space="preserve">. </w:t>
      </w:r>
      <w:r w:rsidR="00997141">
        <w:rPr>
          <w:rFonts w:ascii="Times New Roman" w:eastAsia="Times New Roman" w:hAnsi="Times New Roman"/>
          <w:sz w:val="24"/>
          <w:szCs w:val="24"/>
        </w:rPr>
        <w:t xml:space="preserve">The </w:t>
      </w:r>
      <w:r w:rsidR="00997141" w:rsidRPr="00E74A5C">
        <w:rPr>
          <w:rFonts w:ascii="Times New Roman" w:eastAsia="Times New Roman" w:hAnsi="Times New Roman"/>
          <w:sz w:val="24"/>
          <w:szCs w:val="24"/>
        </w:rPr>
        <w:t xml:space="preserve">fiscal management principles </w:t>
      </w:r>
      <w:r w:rsidR="00997141">
        <w:rPr>
          <w:rFonts w:ascii="Times New Roman" w:eastAsia="Times New Roman" w:hAnsi="Times New Roman"/>
          <w:sz w:val="24"/>
          <w:szCs w:val="24"/>
        </w:rPr>
        <w:t xml:space="preserve">also require the Government </w:t>
      </w:r>
      <w:r w:rsidR="00997141" w:rsidRPr="00E74A5C">
        <w:rPr>
          <w:rFonts w:ascii="Times New Roman" w:eastAsia="Times New Roman" w:hAnsi="Times New Roman"/>
          <w:sz w:val="24"/>
          <w:szCs w:val="24"/>
        </w:rPr>
        <w:t>to improv</w:t>
      </w:r>
      <w:r w:rsidR="00997141">
        <w:rPr>
          <w:rFonts w:ascii="Times New Roman" w:eastAsia="Times New Roman" w:hAnsi="Times New Roman"/>
          <w:sz w:val="24"/>
          <w:szCs w:val="24"/>
        </w:rPr>
        <w:t xml:space="preserve">e </w:t>
      </w:r>
      <w:r w:rsidR="00997141" w:rsidRPr="00E74A5C">
        <w:rPr>
          <w:rFonts w:ascii="Times New Roman" w:eastAsia="Times New Roman" w:hAnsi="Times New Roman"/>
          <w:sz w:val="24"/>
          <w:szCs w:val="24"/>
        </w:rPr>
        <w:t xml:space="preserve">institutional </w:t>
      </w:r>
      <w:r w:rsidR="00997141">
        <w:rPr>
          <w:rFonts w:ascii="Times New Roman" w:eastAsia="Times New Roman" w:hAnsi="Times New Roman"/>
          <w:sz w:val="24"/>
          <w:szCs w:val="24"/>
        </w:rPr>
        <w:t xml:space="preserve">framework to </w:t>
      </w:r>
      <w:r w:rsidR="00997141" w:rsidRPr="00E74A5C">
        <w:rPr>
          <w:rFonts w:ascii="Times New Roman" w:eastAsia="Times New Roman" w:hAnsi="Times New Roman"/>
          <w:sz w:val="24"/>
          <w:szCs w:val="24"/>
        </w:rPr>
        <w:t>maintain physical assets, increas</w:t>
      </w:r>
      <w:r w:rsidR="00997141">
        <w:rPr>
          <w:rFonts w:ascii="Times New Roman" w:eastAsia="Times New Roman" w:hAnsi="Times New Roman"/>
          <w:sz w:val="24"/>
          <w:szCs w:val="24"/>
        </w:rPr>
        <w:t xml:space="preserve">e </w:t>
      </w:r>
      <w:r w:rsidR="00997141" w:rsidRPr="00E74A5C">
        <w:rPr>
          <w:rFonts w:ascii="Times New Roman" w:eastAsia="Times New Roman" w:hAnsi="Times New Roman"/>
          <w:sz w:val="24"/>
          <w:szCs w:val="24"/>
        </w:rPr>
        <w:t>transparency, minimiz</w:t>
      </w:r>
      <w:r w:rsidR="00997141">
        <w:rPr>
          <w:rFonts w:ascii="Times New Roman" w:eastAsia="Times New Roman" w:hAnsi="Times New Roman"/>
          <w:sz w:val="24"/>
          <w:szCs w:val="24"/>
        </w:rPr>
        <w:t xml:space="preserve">e </w:t>
      </w:r>
      <w:r w:rsidR="00997141" w:rsidRPr="00E74A5C">
        <w:rPr>
          <w:rFonts w:ascii="Times New Roman" w:eastAsia="Times New Roman" w:hAnsi="Times New Roman"/>
          <w:sz w:val="24"/>
          <w:szCs w:val="24"/>
        </w:rPr>
        <w:t xml:space="preserve">fiscal risks associated with public sector undertakings (PSUs), </w:t>
      </w:r>
      <w:r w:rsidR="00997141">
        <w:rPr>
          <w:rFonts w:ascii="Times New Roman" w:eastAsia="Times New Roman" w:hAnsi="Times New Roman"/>
          <w:sz w:val="24"/>
          <w:szCs w:val="24"/>
        </w:rPr>
        <w:t xml:space="preserve">and formulate </w:t>
      </w:r>
      <w:r w:rsidR="00997141" w:rsidRPr="00E74A5C">
        <w:rPr>
          <w:rFonts w:ascii="Times New Roman" w:eastAsia="Times New Roman" w:hAnsi="Times New Roman"/>
          <w:sz w:val="24"/>
          <w:szCs w:val="24"/>
        </w:rPr>
        <w:t>realistic budget formulation to minimize the deviations during the course of the year</w:t>
      </w:r>
      <w:r w:rsidR="00997141">
        <w:rPr>
          <w:rFonts w:ascii="Times New Roman" w:eastAsia="Times New Roman" w:hAnsi="Times New Roman"/>
          <w:sz w:val="24"/>
          <w:szCs w:val="24"/>
        </w:rPr>
        <w:t xml:space="preserve">. The achievement of these goals needs to be assessed over a long period. </w:t>
      </w:r>
    </w:p>
    <w:p w:rsidR="00997141" w:rsidRDefault="00997141" w:rsidP="00A5498C">
      <w:pPr>
        <w:spacing w:after="0" w:line="360" w:lineRule="auto"/>
        <w:jc w:val="both"/>
        <w:rPr>
          <w:rFonts w:ascii="Times New Roman" w:eastAsia="Times New Roman" w:hAnsi="Times New Roman"/>
          <w:sz w:val="24"/>
          <w:szCs w:val="24"/>
        </w:rPr>
      </w:pPr>
    </w:p>
    <w:p w:rsidR="00692304" w:rsidRDefault="00045C9D" w:rsidP="00A5498C">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an earlier section we have shown emerging priority sectors of the state by analyzing </w:t>
      </w:r>
      <w:r w:rsidR="006A4568">
        <w:rPr>
          <w:rFonts w:ascii="Times New Roman" w:eastAsia="Times New Roman" w:hAnsi="Times New Roman"/>
          <w:sz w:val="24"/>
          <w:szCs w:val="24"/>
        </w:rPr>
        <w:t>relative expenditure shares of different sectors</w:t>
      </w:r>
      <w:r>
        <w:rPr>
          <w:rFonts w:ascii="Times New Roman" w:eastAsia="Times New Roman" w:hAnsi="Times New Roman"/>
          <w:sz w:val="24"/>
          <w:szCs w:val="24"/>
        </w:rPr>
        <w:t xml:space="preserve">. </w:t>
      </w:r>
      <w:r w:rsidR="00A5498C">
        <w:rPr>
          <w:rFonts w:ascii="Times New Roman" w:eastAsia="Times New Roman" w:hAnsi="Times New Roman"/>
          <w:sz w:val="24"/>
          <w:szCs w:val="24"/>
        </w:rPr>
        <w:t xml:space="preserve">While the interest payment, </w:t>
      </w:r>
      <w:r w:rsidR="007D5DFD">
        <w:rPr>
          <w:rFonts w:ascii="Times New Roman" w:eastAsia="Times New Roman" w:hAnsi="Times New Roman"/>
          <w:sz w:val="24"/>
          <w:szCs w:val="24"/>
        </w:rPr>
        <w:t>pension,</w:t>
      </w:r>
      <w:r w:rsidR="00A5498C">
        <w:rPr>
          <w:rFonts w:ascii="Times New Roman" w:eastAsia="Times New Roman" w:hAnsi="Times New Roman"/>
          <w:sz w:val="24"/>
          <w:szCs w:val="24"/>
        </w:rPr>
        <w:t xml:space="preserve"> and administrative services have remained important spending items, education, health, agriculture, rural dev</w:t>
      </w:r>
      <w:r w:rsidR="007D5DFD">
        <w:rPr>
          <w:rFonts w:ascii="Times New Roman" w:eastAsia="Times New Roman" w:hAnsi="Times New Roman"/>
          <w:sz w:val="24"/>
          <w:szCs w:val="24"/>
        </w:rPr>
        <w:t>elopment</w:t>
      </w:r>
      <w:r w:rsidR="00A5498C">
        <w:rPr>
          <w:rFonts w:ascii="Times New Roman" w:eastAsia="Times New Roman" w:hAnsi="Times New Roman"/>
          <w:sz w:val="24"/>
          <w:szCs w:val="24"/>
        </w:rPr>
        <w:t xml:space="preserve">, transport, electricity, and water supply and sanitation and urban housing continue to be large spending departments in Sikkim. This spending pattern reveals the focus areas of the Government, which broadly includes </w:t>
      </w:r>
      <w:r w:rsidR="00F24270">
        <w:rPr>
          <w:rFonts w:ascii="Times New Roman" w:eastAsia="Times New Roman" w:hAnsi="Times New Roman"/>
          <w:sz w:val="24"/>
          <w:szCs w:val="24"/>
        </w:rPr>
        <w:t>rural,</w:t>
      </w:r>
      <w:r w:rsidR="00A5498C">
        <w:rPr>
          <w:rFonts w:ascii="Times New Roman" w:eastAsia="Times New Roman" w:hAnsi="Times New Roman"/>
          <w:sz w:val="24"/>
          <w:szCs w:val="24"/>
        </w:rPr>
        <w:t xml:space="preserve"> and agriculture sector and infrastructure. </w:t>
      </w:r>
    </w:p>
    <w:p w:rsidR="00692304" w:rsidRDefault="00692304" w:rsidP="00A5498C">
      <w:pPr>
        <w:spacing w:after="0" w:line="360" w:lineRule="auto"/>
        <w:jc w:val="both"/>
        <w:rPr>
          <w:rFonts w:ascii="Times New Roman" w:eastAsia="Times New Roman" w:hAnsi="Times New Roman"/>
          <w:sz w:val="24"/>
          <w:szCs w:val="24"/>
        </w:rPr>
      </w:pPr>
    </w:p>
    <w:p w:rsidR="00A5498C" w:rsidRDefault="00692304" w:rsidP="00A5498C">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Sharp </w:t>
      </w:r>
      <w:r w:rsidR="00045C9D">
        <w:rPr>
          <w:rFonts w:ascii="Times New Roman" w:eastAsia="Times New Roman" w:hAnsi="Times New Roman"/>
          <w:sz w:val="24"/>
          <w:szCs w:val="24"/>
        </w:rPr>
        <w:t>decline in capital outlay in 201</w:t>
      </w:r>
      <w:r>
        <w:rPr>
          <w:rFonts w:ascii="Times New Roman" w:eastAsia="Times New Roman" w:hAnsi="Times New Roman"/>
          <w:sz w:val="24"/>
          <w:szCs w:val="24"/>
        </w:rPr>
        <w:t xml:space="preserve">9-20 is a matter of concern relating to </w:t>
      </w:r>
      <w:r w:rsidR="00045C9D">
        <w:rPr>
          <w:rFonts w:ascii="Times New Roman" w:eastAsia="Times New Roman" w:hAnsi="Times New Roman"/>
          <w:sz w:val="24"/>
          <w:szCs w:val="24"/>
        </w:rPr>
        <w:t xml:space="preserve">quality of expenditure. </w:t>
      </w:r>
      <w:r w:rsidR="00A5498C">
        <w:rPr>
          <w:rFonts w:ascii="Times New Roman" w:eastAsia="Times New Roman" w:hAnsi="Times New Roman"/>
          <w:sz w:val="24"/>
          <w:szCs w:val="24"/>
        </w:rPr>
        <w:t xml:space="preserve">The Government needs to expand its own resource base in addition to adopting better expenditure management practices to get value for money in the utilization of resources in the priority sector. </w:t>
      </w:r>
      <w:r w:rsidR="00A5498C" w:rsidRPr="00A5498C">
        <w:rPr>
          <w:rFonts w:ascii="Times New Roman" w:eastAsia="Times New Roman" w:hAnsi="Times New Roman"/>
          <w:sz w:val="24"/>
          <w:szCs w:val="24"/>
        </w:rPr>
        <w:t xml:space="preserve">  </w:t>
      </w:r>
    </w:p>
    <w:p w:rsidR="00A5498C" w:rsidRDefault="00A5498C" w:rsidP="00A5498C">
      <w:pPr>
        <w:spacing w:after="0" w:line="360" w:lineRule="auto"/>
        <w:jc w:val="both"/>
        <w:rPr>
          <w:rFonts w:ascii="Times New Roman" w:eastAsia="Times New Roman" w:hAnsi="Times New Roman"/>
          <w:sz w:val="24"/>
          <w:szCs w:val="24"/>
        </w:rPr>
      </w:pPr>
    </w:p>
    <w:p w:rsidR="00997141" w:rsidRPr="005F48BA" w:rsidRDefault="00997141" w:rsidP="00A5498C">
      <w:pPr>
        <w:spacing w:after="0" w:line="360" w:lineRule="auto"/>
        <w:jc w:val="both"/>
        <w:rPr>
          <w:rFonts w:ascii="Times New Roman" w:eastAsia="Times New Roman" w:hAnsi="Times New Roman"/>
          <w:sz w:val="24"/>
          <w:szCs w:val="24"/>
        </w:rPr>
      </w:pPr>
      <w:r w:rsidRPr="005F48BA">
        <w:rPr>
          <w:rFonts w:ascii="Times New Roman" w:eastAsia="Times New Roman" w:hAnsi="Times New Roman"/>
          <w:sz w:val="24"/>
          <w:szCs w:val="24"/>
        </w:rPr>
        <w:t>The achievement of socio-economic development in Sikkim has been significant. The State economy has experienced substantial growth in recent years and the per capita income of the state has increased from Rs.</w:t>
      </w:r>
      <w:r w:rsidR="00B92835" w:rsidRPr="005F48BA">
        <w:rPr>
          <w:rFonts w:ascii="Times New Roman" w:eastAsia="Times New Roman" w:hAnsi="Times New Roman"/>
          <w:sz w:val="24"/>
          <w:szCs w:val="24"/>
        </w:rPr>
        <w:t>1</w:t>
      </w:r>
      <w:r w:rsidR="00403D30" w:rsidRPr="005F48BA">
        <w:rPr>
          <w:rFonts w:ascii="Times New Roman" w:eastAsia="Times New Roman" w:hAnsi="Times New Roman"/>
          <w:sz w:val="24"/>
          <w:szCs w:val="24"/>
        </w:rPr>
        <w:t>,81,842</w:t>
      </w:r>
      <w:r w:rsidRPr="005F48BA">
        <w:rPr>
          <w:rFonts w:ascii="Times New Roman" w:eastAsia="Times New Roman" w:hAnsi="Times New Roman"/>
          <w:sz w:val="24"/>
          <w:szCs w:val="24"/>
        </w:rPr>
        <w:t xml:space="preserve"> in 20</w:t>
      </w:r>
      <w:r w:rsidR="00B92835" w:rsidRPr="005F48BA">
        <w:rPr>
          <w:rFonts w:ascii="Times New Roman" w:eastAsia="Times New Roman" w:hAnsi="Times New Roman"/>
          <w:sz w:val="24"/>
          <w:szCs w:val="24"/>
        </w:rPr>
        <w:t>11</w:t>
      </w:r>
      <w:r w:rsidRPr="005F48BA">
        <w:rPr>
          <w:rFonts w:ascii="Times New Roman" w:eastAsia="Times New Roman" w:hAnsi="Times New Roman"/>
          <w:sz w:val="24"/>
          <w:szCs w:val="24"/>
        </w:rPr>
        <w:t>-</w:t>
      </w:r>
      <w:r w:rsidR="00B92835" w:rsidRPr="005F48BA">
        <w:rPr>
          <w:rFonts w:ascii="Times New Roman" w:eastAsia="Times New Roman" w:hAnsi="Times New Roman"/>
          <w:sz w:val="24"/>
          <w:szCs w:val="24"/>
        </w:rPr>
        <w:t>12</w:t>
      </w:r>
      <w:r w:rsidRPr="005F48BA">
        <w:rPr>
          <w:rFonts w:ascii="Times New Roman" w:eastAsia="Times New Roman" w:hAnsi="Times New Roman"/>
          <w:sz w:val="24"/>
          <w:szCs w:val="24"/>
        </w:rPr>
        <w:t xml:space="preserve"> to Rs.</w:t>
      </w:r>
      <w:r w:rsidR="00045C9D" w:rsidRPr="005F48BA">
        <w:rPr>
          <w:rFonts w:ascii="Times New Roman" w:hAnsi="Times New Roman"/>
        </w:rPr>
        <w:t xml:space="preserve"> </w:t>
      </w:r>
      <w:r w:rsidR="00DB6BFC" w:rsidRPr="005F48BA">
        <w:rPr>
          <w:rFonts w:ascii="Times New Roman" w:hAnsi="Times New Roman"/>
        </w:rPr>
        <w:t>4,61</w:t>
      </w:r>
      <w:r w:rsidR="005F48BA">
        <w:rPr>
          <w:rFonts w:ascii="Times New Roman" w:hAnsi="Times New Roman"/>
        </w:rPr>
        <w:t>,</w:t>
      </w:r>
      <w:r w:rsidR="00DB6BFC" w:rsidRPr="005F48BA">
        <w:rPr>
          <w:rFonts w:ascii="Times New Roman" w:hAnsi="Times New Roman"/>
        </w:rPr>
        <w:t xml:space="preserve">904 </w:t>
      </w:r>
      <w:r w:rsidR="00B92835" w:rsidRPr="005F48BA">
        <w:rPr>
          <w:rFonts w:ascii="Times New Roman" w:eastAsia="Times New Roman" w:hAnsi="Times New Roman"/>
          <w:sz w:val="24"/>
          <w:szCs w:val="24"/>
        </w:rPr>
        <w:t>in 201</w:t>
      </w:r>
      <w:r w:rsidR="00DB6BFC" w:rsidRPr="005F48BA">
        <w:rPr>
          <w:rFonts w:ascii="Times New Roman" w:eastAsia="Times New Roman" w:hAnsi="Times New Roman"/>
          <w:sz w:val="24"/>
          <w:szCs w:val="24"/>
        </w:rPr>
        <w:t>9</w:t>
      </w:r>
      <w:r w:rsidR="00B92835" w:rsidRPr="005F48BA">
        <w:rPr>
          <w:rFonts w:ascii="Times New Roman" w:eastAsia="Times New Roman" w:hAnsi="Times New Roman"/>
          <w:sz w:val="24"/>
          <w:szCs w:val="24"/>
        </w:rPr>
        <w:t>-</w:t>
      </w:r>
      <w:r w:rsidR="00DB6BFC" w:rsidRPr="005F48BA">
        <w:rPr>
          <w:rFonts w:ascii="Times New Roman" w:eastAsia="Times New Roman" w:hAnsi="Times New Roman"/>
          <w:sz w:val="24"/>
          <w:szCs w:val="24"/>
        </w:rPr>
        <w:t>20</w:t>
      </w:r>
      <w:r w:rsidRPr="005F48BA">
        <w:rPr>
          <w:rFonts w:ascii="Times New Roman" w:eastAsia="Times New Roman" w:hAnsi="Times New Roman"/>
          <w:sz w:val="24"/>
          <w:szCs w:val="24"/>
        </w:rPr>
        <w:t xml:space="preserve"> at current prices. The major socio-economic indicators for the State show commendable improvement. The poverty ratio has declined to 8.19 per cent as compared to all India average of 21.92 per cent in 2011-12. The literacy rate at 81.40 per cent in 2011-12 is significant achievement. The IMR has gone down to 24 per 1000 in 2011 as compared to the all India average of 44. </w:t>
      </w:r>
    </w:p>
    <w:p w:rsidR="005E2AA6" w:rsidRDefault="005E2AA6" w:rsidP="00A5498C">
      <w:pPr>
        <w:spacing w:after="0" w:line="360" w:lineRule="auto"/>
        <w:jc w:val="both"/>
        <w:rPr>
          <w:rFonts w:ascii="Times New Roman" w:eastAsia="Times New Roman" w:hAnsi="Times New Roman"/>
          <w:sz w:val="24"/>
          <w:szCs w:val="24"/>
        </w:rPr>
      </w:pPr>
    </w:p>
    <w:p w:rsidR="005E2AA6" w:rsidRDefault="005E2AA6" w:rsidP="00A5498C">
      <w:pPr>
        <w:spacing w:after="0" w:line="360" w:lineRule="auto"/>
        <w:jc w:val="both"/>
        <w:rPr>
          <w:rFonts w:ascii="Times New Roman" w:eastAsia="Times New Roman" w:hAnsi="Times New Roman"/>
          <w:sz w:val="24"/>
          <w:szCs w:val="24"/>
        </w:rPr>
      </w:pPr>
      <w:r w:rsidRPr="00403D30">
        <w:rPr>
          <w:rFonts w:ascii="Times New Roman" w:eastAsia="Times New Roman" w:hAnsi="Times New Roman"/>
          <w:sz w:val="24"/>
          <w:szCs w:val="24"/>
        </w:rPr>
        <w:t xml:space="preserve">Fiscal transparency measures enunciated in the FRBM Act requires the </w:t>
      </w:r>
      <w:r w:rsidR="00DB6BFC">
        <w:rPr>
          <w:rFonts w:ascii="Times New Roman" w:eastAsia="Times New Roman" w:hAnsi="Times New Roman"/>
          <w:sz w:val="24"/>
          <w:szCs w:val="24"/>
        </w:rPr>
        <w:t>s</w:t>
      </w:r>
      <w:r w:rsidRPr="00403D30">
        <w:rPr>
          <w:rFonts w:ascii="Times New Roman" w:eastAsia="Times New Roman" w:hAnsi="Times New Roman"/>
          <w:sz w:val="24"/>
          <w:szCs w:val="24"/>
        </w:rPr>
        <w:t xml:space="preserve">tate </w:t>
      </w:r>
      <w:r w:rsidR="00DB6BFC">
        <w:rPr>
          <w:rFonts w:ascii="Times New Roman" w:eastAsia="Times New Roman" w:hAnsi="Times New Roman"/>
          <w:sz w:val="24"/>
          <w:szCs w:val="24"/>
        </w:rPr>
        <w:t>g</w:t>
      </w:r>
      <w:r w:rsidRPr="00403D30">
        <w:rPr>
          <w:rFonts w:ascii="Times New Roman" w:eastAsia="Times New Roman" w:hAnsi="Times New Roman"/>
          <w:sz w:val="24"/>
          <w:szCs w:val="24"/>
        </w:rPr>
        <w:t xml:space="preserve">overnment to minimize the secrecy and disclose data and information relating to the fiscal operations. The rules to the Act specify the data and information to be disclosed along with the budget </w:t>
      </w:r>
      <w:r w:rsidRPr="00403D30">
        <w:rPr>
          <w:rFonts w:ascii="Times New Roman" w:eastAsia="Times New Roman" w:hAnsi="Times New Roman"/>
          <w:sz w:val="24"/>
          <w:szCs w:val="24"/>
        </w:rPr>
        <w:lastRenderedPageBreak/>
        <w:t>documents.</w:t>
      </w:r>
      <w:r w:rsidR="004B0597" w:rsidRPr="00403D30">
        <w:rPr>
          <w:rFonts w:ascii="Times New Roman" w:eastAsia="Times New Roman" w:hAnsi="Times New Roman"/>
          <w:sz w:val="24"/>
          <w:szCs w:val="24"/>
        </w:rPr>
        <w:t xml:space="preserve"> However, thee disclosure </w:t>
      </w:r>
      <w:r w:rsidR="00403D30" w:rsidRPr="00403D30">
        <w:rPr>
          <w:rFonts w:ascii="Times New Roman" w:eastAsia="Times New Roman" w:hAnsi="Times New Roman"/>
          <w:sz w:val="24"/>
          <w:szCs w:val="24"/>
        </w:rPr>
        <w:t xml:space="preserve">statements containing data and information </w:t>
      </w:r>
      <w:r w:rsidR="004B0597" w:rsidRPr="00403D30">
        <w:rPr>
          <w:rFonts w:ascii="Times New Roman" w:eastAsia="Times New Roman" w:hAnsi="Times New Roman"/>
          <w:sz w:val="24"/>
          <w:szCs w:val="24"/>
        </w:rPr>
        <w:t>do not cover all aspects of budget management.</w:t>
      </w:r>
      <w:r w:rsidR="004B0597">
        <w:rPr>
          <w:rFonts w:ascii="Times New Roman" w:eastAsia="Times New Roman" w:hAnsi="Times New Roman"/>
          <w:sz w:val="24"/>
          <w:szCs w:val="24"/>
        </w:rPr>
        <w:t xml:space="preserve">  </w:t>
      </w:r>
    </w:p>
    <w:p w:rsidR="00997141" w:rsidRDefault="00997141" w:rsidP="00997141">
      <w:pPr>
        <w:spacing w:after="0" w:line="360" w:lineRule="auto"/>
        <w:ind w:firstLine="720"/>
        <w:jc w:val="both"/>
        <w:rPr>
          <w:rFonts w:ascii="Times New Roman" w:eastAsia="Times New Roman" w:hAnsi="Times New Roman"/>
          <w:sz w:val="24"/>
          <w:szCs w:val="24"/>
        </w:rPr>
      </w:pPr>
    </w:p>
    <w:p w:rsidR="00997141" w:rsidRDefault="005E2AA6" w:rsidP="005E2AA6">
      <w:pPr>
        <w:spacing w:after="0" w:line="360" w:lineRule="auto"/>
        <w:jc w:val="both"/>
        <w:rPr>
          <w:rFonts w:ascii="Times New Roman" w:hAnsi="Times New Roman"/>
          <w:sz w:val="24"/>
          <w:szCs w:val="24"/>
        </w:rPr>
      </w:pPr>
      <w:r>
        <w:rPr>
          <w:rFonts w:ascii="Times New Roman" w:hAnsi="Times New Roman"/>
          <w:sz w:val="24"/>
          <w:szCs w:val="24"/>
        </w:rPr>
        <w:t xml:space="preserve">The public financial management system in general and </w:t>
      </w:r>
      <w:r w:rsidR="006A4568">
        <w:rPr>
          <w:rFonts w:ascii="Times New Roman" w:hAnsi="Times New Roman"/>
          <w:sz w:val="24"/>
          <w:szCs w:val="24"/>
        </w:rPr>
        <w:t>budget</w:t>
      </w:r>
      <w:r>
        <w:rPr>
          <w:rFonts w:ascii="Times New Roman" w:hAnsi="Times New Roman"/>
          <w:sz w:val="24"/>
          <w:szCs w:val="24"/>
        </w:rPr>
        <w:t xml:space="preserve">ing system in particular </w:t>
      </w:r>
      <w:r w:rsidR="002C349D">
        <w:rPr>
          <w:rFonts w:ascii="Times New Roman" w:hAnsi="Times New Roman"/>
          <w:sz w:val="24"/>
          <w:szCs w:val="24"/>
        </w:rPr>
        <w:t>suffer from lack of predictability in fund flows</w:t>
      </w:r>
      <w:r>
        <w:rPr>
          <w:rFonts w:ascii="Times New Roman" w:hAnsi="Times New Roman"/>
          <w:sz w:val="24"/>
          <w:szCs w:val="24"/>
        </w:rPr>
        <w:t xml:space="preserve"> resulting </w:t>
      </w:r>
      <w:r w:rsidR="002C349D">
        <w:rPr>
          <w:rFonts w:ascii="Times New Roman" w:hAnsi="Times New Roman"/>
          <w:sz w:val="24"/>
          <w:szCs w:val="24"/>
        </w:rPr>
        <w:t xml:space="preserve">in </w:t>
      </w:r>
      <w:r>
        <w:rPr>
          <w:rFonts w:ascii="Times New Roman" w:hAnsi="Times New Roman"/>
          <w:sz w:val="24"/>
          <w:szCs w:val="24"/>
        </w:rPr>
        <w:t xml:space="preserve">discrepancies </w:t>
      </w:r>
      <w:r w:rsidR="00396E79">
        <w:rPr>
          <w:rFonts w:ascii="Times New Roman" w:hAnsi="Times New Roman"/>
          <w:sz w:val="24"/>
          <w:szCs w:val="24"/>
        </w:rPr>
        <w:t xml:space="preserve">between </w:t>
      </w:r>
      <w:r>
        <w:rPr>
          <w:rFonts w:ascii="Times New Roman" w:hAnsi="Times New Roman"/>
          <w:sz w:val="24"/>
          <w:szCs w:val="24"/>
        </w:rPr>
        <w:t xml:space="preserve">intents and achievements. </w:t>
      </w:r>
      <w:r w:rsidR="002C349D">
        <w:rPr>
          <w:rFonts w:ascii="Times New Roman" w:hAnsi="Times New Roman"/>
          <w:sz w:val="24"/>
          <w:szCs w:val="24"/>
        </w:rPr>
        <w:t xml:space="preserve">The fiscal management principles enshrined in the Act cautions to avoid such  </w:t>
      </w:r>
      <w:r w:rsidR="006A4568">
        <w:rPr>
          <w:rFonts w:ascii="Times New Roman" w:hAnsi="Times New Roman"/>
          <w:sz w:val="24"/>
          <w:szCs w:val="24"/>
        </w:rPr>
        <w:t xml:space="preserve"> </w:t>
      </w:r>
      <w:r w:rsidR="002C349D">
        <w:rPr>
          <w:rFonts w:ascii="Times New Roman" w:hAnsi="Times New Roman"/>
          <w:sz w:val="24"/>
          <w:szCs w:val="24"/>
        </w:rPr>
        <w:t>diver</w:t>
      </w:r>
      <w:r w:rsidR="00396E79">
        <w:rPr>
          <w:rFonts w:ascii="Times New Roman" w:hAnsi="Times New Roman"/>
          <w:sz w:val="24"/>
          <w:szCs w:val="24"/>
        </w:rPr>
        <w:t>gences by improving efficiency</w:t>
      </w:r>
      <w:r w:rsidR="002C349D">
        <w:rPr>
          <w:rFonts w:ascii="Times New Roman" w:hAnsi="Times New Roman"/>
          <w:sz w:val="24"/>
          <w:szCs w:val="24"/>
        </w:rPr>
        <w:t xml:space="preserve"> </w:t>
      </w:r>
      <w:r w:rsidR="00396E79">
        <w:rPr>
          <w:rFonts w:ascii="Times New Roman" w:hAnsi="Times New Roman"/>
          <w:sz w:val="24"/>
          <w:szCs w:val="24"/>
        </w:rPr>
        <w:t xml:space="preserve">of </w:t>
      </w:r>
      <w:r w:rsidR="002C349D">
        <w:rPr>
          <w:rFonts w:ascii="Times New Roman" w:hAnsi="Times New Roman"/>
          <w:sz w:val="24"/>
          <w:szCs w:val="24"/>
        </w:rPr>
        <w:t>budget management</w:t>
      </w:r>
      <w:r w:rsidR="00396E79">
        <w:rPr>
          <w:rFonts w:ascii="Times New Roman" w:hAnsi="Times New Roman"/>
          <w:sz w:val="24"/>
          <w:szCs w:val="24"/>
        </w:rPr>
        <w:t xml:space="preserve"> practices</w:t>
      </w:r>
      <w:r w:rsidR="002C349D">
        <w:rPr>
          <w:rFonts w:ascii="Times New Roman" w:hAnsi="Times New Roman"/>
          <w:sz w:val="24"/>
          <w:szCs w:val="24"/>
        </w:rPr>
        <w:t>. The</w:t>
      </w:r>
      <w:r w:rsidR="005F48BA">
        <w:rPr>
          <w:rFonts w:ascii="Times New Roman" w:hAnsi="Times New Roman"/>
          <w:sz w:val="24"/>
          <w:szCs w:val="24"/>
        </w:rPr>
        <w:t xml:space="preserve"> s</w:t>
      </w:r>
      <w:r w:rsidR="00997141">
        <w:rPr>
          <w:rFonts w:ascii="Times New Roman" w:hAnsi="Times New Roman"/>
          <w:sz w:val="24"/>
          <w:szCs w:val="24"/>
        </w:rPr>
        <w:t xml:space="preserve">tate is heavily dependent on </w:t>
      </w:r>
      <w:r w:rsidR="00795C77">
        <w:rPr>
          <w:rFonts w:ascii="Times New Roman" w:hAnsi="Times New Roman"/>
          <w:sz w:val="24"/>
          <w:szCs w:val="24"/>
        </w:rPr>
        <w:t>c</w:t>
      </w:r>
      <w:r w:rsidR="00997141">
        <w:rPr>
          <w:rFonts w:ascii="Times New Roman" w:hAnsi="Times New Roman"/>
          <w:sz w:val="24"/>
          <w:szCs w:val="24"/>
        </w:rPr>
        <w:t xml:space="preserve">entral transfers that includes share in central taxes and </w:t>
      </w:r>
      <w:r w:rsidR="00795C77">
        <w:rPr>
          <w:rFonts w:ascii="Times New Roman" w:hAnsi="Times New Roman"/>
          <w:sz w:val="24"/>
          <w:szCs w:val="24"/>
        </w:rPr>
        <w:t>c</w:t>
      </w:r>
      <w:r w:rsidR="00997141">
        <w:rPr>
          <w:rFonts w:ascii="Times New Roman" w:hAnsi="Times New Roman"/>
          <w:sz w:val="24"/>
          <w:szCs w:val="24"/>
        </w:rPr>
        <w:t xml:space="preserve">entral grants. </w:t>
      </w:r>
      <w:r>
        <w:rPr>
          <w:rFonts w:ascii="Times New Roman" w:hAnsi="Times New Roman"/>
          <w:sz w:val="24"/>
          <w:szCs w:val="24"/>
        </w:rPr>
        <w:t>In</w:t>
      </w:r>
      <w:r w:rsidR="00997141">
        <w:rPr>
          <w:rFonts w:ascii="Times New Roman" w:hAnsi="Times New Roman"/>
          <w:sz w:val="24"/>
          <w:szCs w:val="24"/>
        </w:rPr>
        <w:t xml:space="preserve"> addition to centrally sponsored schemes, </w:t>
      </w:r>
      <w:r>
        <w:rPr>
          <w:rFonts w:ascii="Times New Roman" w:hAnsi="Times New Roman"/>
          <w:sz w:val="24"/>
          <w:szCs w:val="24"/>
        </w:rPr>
        <w:t xml:space="preserve">grants from </w:t>
      </w:r>
      <w:r w:rsidR="00997141">
        <w:rPr>
          <w:rFonts w:ascii="Times New Roman" w:hAnsi="Times New Roman"/>
          <w:sz w:val="24"/>
          <w:szCs w:val="24"/>
        </w:rPr>
        <w:t>agencies like DONER and NEC for infrastructure projects</w:t>
      </w:r>
      <w:r>
        <w:rPr>
          <w:rFonts w:ascii="Times New Roman" w:hAnsi="Times New Roman"/>
          <w:sz w:val="24"/>
          <w:szCs w:val="24"/>
        </w:rPr>
        <w:t xml:space="preserve"> </w:t>
      </w:r>
      <w:r w:rsidR="00396E79">
        <w:rPr>
          <w:rFonts w:ascii="Times New Roman" w:hAnsi="Times New Roman"/>
          <w:sz w:val="24"/>
          <w:szCs w:val="24"/>
        </w:rPr>
        <w:t xml:space="preserve">form significant part of funding. </w:t>
      </w:r>
      <w:r w:rsidR="00997141">
        <w:rPr>
          <w:rFonts w:ascii="Times New Roman" w:hAnsi="Times New Roman"/>
          <w:sz w:val="24"/>
          <w:szCs w:val="24"/>
        </w:rPr>
        <w:t>Many a times the expenditures planned in the budget go awry due to non-receipts of components of these funds and late receipt of grants towards end of the financial</w:t>
      </w:r>
      <w:r w:rsidR="005F48BA">
        <w:rPr>
          <w:rFonts w:ascii="Times New Roman" w:hAnsi="Times New Roman"/>
          <w:sz w:val="24"/>
          <w:szCs w:val="24"/>
        </w:rPr>
        <w:t xml:space="preserve"> year. It is important for the s</w:t>
      </w:r>
      <w:r w:rsidR="00997141">
        <w:rPr>
          <w:rFonts w:ascii="Times New Roman" w:hAnsi="Times New Roman"/>
          <w:sz w:val="24"/>
          <w:szCs w:val="24"/>
        </w:rPr>
        <w:t xml:space="preserve">tate </w:t>
      </w:r>
      <w:r w:rsidR="005F48BA">
        <w:rPr>
          <w:rFonts w:ascii="Times New Roman" w:hAnsi="Times New Roman"/>
          <w:sz w:val="24"/>
          <w:szCs w:val="24"/>
        </w:rPr>
        <w:t>g</w:t>
      </w:r>
      <w:r w:rsidR="00997141">
        <w:rPr>
          <w:rFonts w:ascii="Times New Roman" w:hAnsi="Times New Roman"/>
          <w:sz w:val="24"/>
          <w:szCs w:val="24"/>
        </w:rPr>
        <w:t xml:space="preserve">overnment to step up coordination with the </w:t>
      </w:r>
      <w:r w:rsidR="005F48BA">
        <w:rPr>
          <w:rFonts w:ascii="Times New Roman" w:hAnsi="Times New Roman"/>
          <w:sz w:val="24"/>
          <w:szCs w:val="24"/>
        </w:rPr>
        <w:t>c</w:t>
      </w:r>
      <w:r w:rsidR="00997141">
        <w:rPr>
          <w:rFonts w:ascii="Times New Roman" w:hAnsi="Times New Roman"/>
          <w:sz w:val="24"/>
          <w:szCs w:val="24"/>
        </w:rPr>
        <w:t>entral agencies to improve the fund-flow to planned projects and programs.</w:t>
      </w:r>
      <w:r w:rsidR="006A4568">
        <w:rPr>
          <w:rFonts w:ascii="Times New Roman" w:hAnsi="Times New Roman"/>
          <w:sz w:val="24"/>
          <w:szCs w:val="24"/>
        </w:rPr>
        <w:t xml:space="preserve"> </w:t>
      </w:r>
      <w:r w:rsidR="00997141">
        <w:rPr>
          <w:rFonts w:ascii="Times New Roman" w:hAnsi="Times New Roman"/>
          <w:sz w:val="24"/>
          <w:szCs w:val="24"/>
        </w:rPr>
        <w:t xml:space="preserve">     </w:t>
      </w:r>
    </w:p>
    <w:p w:rsidR="00AA7676" w:rsidRDefault="00AA7676" w:rsidP="004A73D3">
      <w:pPr>
        <w:spacing w:after="0" w:line="360" w:lineRule="auto"/>
        <w:jc w:val="both"/>
        <w:rPr>
          <w:rFonts w:ascii="Times New Roman" w:hAnsi="Times New Roman"/>
          <w:sz w:val="24"/>
          <w:szCs w:val="24"/>
        </w:rPr>
      </w:pPr>
    </w:p>
    <w:p w:rsidR="00AA7676" w:rsidRPr="004A73D3" w:rsidRDefault="00AA7676" w:rsidP="004A73D3">
      <w:pPr>
        <w:pStyle w:val="ListParagraph"/>
        <w:numPr>
          <w:ilvl w:val="1"/>
          <w:numId w:val="13"/>
        </w:numPr>
        <w:spacing w:after="0" w:line="360" w:lineRule="auto"/>
        <w:jc w:val="both"/>
        <w:rPr>
          <w:rFonts w:ascii="Times New Roman" w:eastAsia="Times New Roman" w:hAnsi="Times New Roman"/>
          <w:b/>
          <w:sz w:val="24"/>
          <w:szCs w:val="24"/>
        </w:rPr>
      </w:pPr>
      <w:r w:rsidRPr="004A73D3">
        <w:rPr>
          <w:rFonts w:ascii="Times New Roman" w:eastAsia="Times New Roman" w:hAnsi="Times New Roman"/>
          <w:b/>
          <w:sz w:val="24"/>
          <w:szCs w:val="24"/>
        </w:rPr>
        <w:t xml:space="preserve">Budget Credibility: Projections and Outturns    </w:t>
      </w:r>
    </w:p>
    <w:p w:rsidR="008862E8" w:rsidRDefault="008862E8" w:rsidP="00AA7676">
      <w:pPr>
        <w:spacing w:after="0" w:line="360" w:lineRule="auto"/>
        <w:ind w:firstLine="720"/>
        <w:jc w:val="both"/>
        <w:rPr>
          <w:rFonts w:ascii="Times New Roman" w:hAnsi="Times New Roman"/>
          <w:sz w:val="24"/>
          <w:szCs w:val="24"/>
        </w:rPr>
      </w:pPr>
    </w:p>
    <w:p w:rsidR="0079072F" w:rsidRDefault="0079072F" w:rsidP="0079072F">
      <w:pPr>
        <w:spacing w:after="0" w:line="360" w:lineRule="auto"/>
        <w:jc w:val="both"/>
        <w:rPr>
          <w:rFonts w:ascii="Times New Roman" w:hAnsi="Times New Roman"/>
          <w:sz w:val="24"/>
          <w:szCs w:val="24"/>
        </w:rPr>
      </w:pPr>
      <w:r w:rsidRPr="0079072F">
        <w:rPr>
          <w:rFonts w:ascii="Times New Roman" w:eastAsiaTheme="minorHAnsi" w:hAnsi="Times New Roman"/>
          <w:sz w:val="24"/>
          <w:szCs w:val="24"/>
        </w:rPr>
        <w:t>The FRBM Act in the state calls upon to establish stability and predictability in the fiscal management for which the budget should be formulated in an objective manner with due regard to the general economic outlook and realistic revenue prospects and minimize deviations during the course of the year.</w:t>
      </w:r>
      <w:r>
        <w:rPr>
          <w:rFonts w:ascii="Times New Roman" w:eastAsiaTheme="minorHAnsi" w:hAnsi="Times New Roman"/>
          <w:sz w:val="24"/>
          <w:szCs w:val="24"/>
        </w:rPr>
        <w:t xml:space="preserve"> Although, t</w:t>
      </w:r>
      <w:r>
        <w:rPr>
          <w:rFonts w:ascii="Times New Roman" w:hAnsi="Times New Roman"/>
          <w:sz w:val="24"/>
          <w:szCs w:val="24"/>
        </w:rPr>
        <w:t xml:space="preserve">here are procedures to adjust the budget through supplementary demands to take care of exigencies and to use surplus funds from other programs, these adjustments should not be too large to reduce the sanctity of the budget. </w:t>
      </w:r>
    </w:p>
    <w:p w:rsidR="0079072F" w:rsidRDefault="0079072F" w:rsidP="00374268">
      <w:pPr>
        <w:spacing w:after="0" w:line="360" w:lineRule="auto"/>
        <w:jc w:val="both"/>
        <w:rPr>
          <w:rFonts w:ascii="Times New Roman" w:eastAsiaTheme="minorHAnsi" w:hAnsi="Times New Roman"/>
          <w:sz w:val="24"/>
          <w:szCs w:val="24"/>
        </w:rPr>
      </w:pPr>
    </w:p>
    <w:p w:rsidR="0079072F" w:rsidRDefault="0079072F" w:rsidP="00374268">
      <w:pPr>
        <w:spacing w:after="0" w:line="360" w:lineRule="auto"/>
        <w:jc w:val="both"/>
        <w:rPr>
          <w:rFonts w:ascii="Times New Roman" w:eastAsiaTheme="minorHAnsi" w:hAnsi="Times New Roman"/>
          <w:sz w:val="24"/>
          <w:szCs w:val="24"/>
        </w:rPr>
      </w:pPr>
      <w:r w:rsidRPr="00374268">
        <w:rPr>
          <w:rFonts w:ascii="Times New Roman" w:eastAsiaTheme="minorHAnsi" w:hAnsi="Times New Roman"/>
          <w:sz w:val="24"/>
          <w:szCs w:val="24"/>
        </w:rPr>
        <w:t>The performance of sub-national governments, in terms of service delivery and achieving policy goals, depend</w:t>
      </w:r>
      <w:r w:rsidR="00056938">
        <w:rPr>
          <w:rFonts w:ascii="Times New Roman" w:eastAsiaTheme="minorHAnsi" w:hAnsi="Times New Roman"/>
          <w:sz w:val="24"/>
          <w:szCs w:val="24"/>
        </w:rPr>
        <w:t>s</w:t>
      </w:r>
      <w:r w:rsidRPr="00374268">
        <w:rPr>
          <w:rFonts w:ascii="Times New Roman" w:eastAsiaTheme="minorHAnsi" w:hAnsi="Times New Roman"/>
          <w:sz w:val="24"/>
          <w:szCs w:val="24"/>
        </w:rPr>
        <w:t xml:space="preserve"> upon the performance of their budget. </w:t>
      </w:r>
      <w:r>
        <w:rPr>
          <w:rFonts w:ascii="Times New Roman" w:eastAsiaTheme="minorHAnsi" w:hAnsi="Times New Roman"/>
          <w:sz w:val="24"/>
          <w:szCs w:val="24"/>
        </w:rPr>
        <w:t>S</w:t>
      </w:r>
      <w:r w:rsidR="00374268" w:rsidRPr="00374268">
        <w:rPr>
          <w:rFonts w:ascii="Times New Roman" w:eastAsiaTheme="minorHAnsi" w:hAnsi="Times New Roman"/>
          <w:sz w:val="24"/>
          <w:szCs w:val="24"/>
        </w:rPr>
        <w:t xml:space="preserve">tate governments </w:t>
      </w:r>
      <w:r>
        <w:rPr>
          <w:rFonts w:ascii="Times New Roman" w:eastAsiaTheme="minorHAnsi" w:hAnsi="Times New Roman"/>
          <w:sz w:val="24"/>
          <w:szCs w:val="24"/>
        </w:rPr>
        <w:t xml:space="preserve">in India </w:t>
      </w:r>
      <w:r w:rsidR="00374268" w:rsidRPr="00374268">
        <w:rPr>
          <w:rFonts w:ascii="Times New Roman" w:eastAsiaTheme="minorHAnsi" w:hAnsi="Times New Roman"/>
          <w:sz w:val="24"/>
          <w:szCs w:val="24"/>
        </w:rPr>
        <w:t>bear major functional responsibilities following constitutional provisions spanning over social and economic sectors</w:t>
      </w:r>
      <w:r w:rsidR="00E143CD">
        <w:rPr>
          <w:rFonts w:ascii="Times New Roman" w:eastAsiaTheme="minorHAnsi" w:hAnsi="Times New Roman"/>
          <w:sz w:val="24"/>
          <w:szCs w:val="24"/>
        </w:rPr>
        <w:t>. Spending at state</w:t>
      </w:r>
      <w:r>
        <w:rPr>
          <w:rFonts w:ascii="Times New Roman" w:eastAsiaTheme="minorHAnsi" w:hAnsi="Times New Roman"/>
          <w:sz w:val="24"/>
          <w:szCs w:val="24"/>
        </w:rPr>
        <w:t xml:space="preserve"> level is also higher than the central government due to the larger functional responsibilities. As the central government has more buoyant source of revenues, there is system of resource transfers to states following recommendation of </w:t>
      </w:r>
      <w:r w:rsidR="00E143CD">
        <w:rPr>
          <w:rFonts w:ascii="Times New Roman" w:eastAsiaTheme="minorHAnsi" w:hAnsi="Times New Roman"/>
          <w:sz w:val="24"/>
          <w:szCs w:val="24"/>
        </w:rPr>
        <w:t>Central Finance Commissions and through C</w:t>
      </w:r>
      <w:r>
        <w:rPr>
          <w:rFonts w:ascii="Times New Roman" w:eastAsiaTheme="minorHAnsi" w:hAnsi="Times New Roman"/>
          <w:sz w:val="24"/>
          <w:szCs w:val="24"/>
        </w:rPr>
        <w:t xml:space="preserve">entrally </w:t>
      </w:r>
      <w:r w:rsidR="00E143CD">
        <w:rPr>
          <w:rFonts w:ascii="Times New Roman" w:eastAsiaTheme="minorHAnsi" w:hAnsi="Times New Roman"/>
          <w:sz w:val="24"/>
          <w:szCs w:val="24"/>
        </w:rPr>
        <w:t>S</w:t>
      </w:r>
      <w:r>
        <w:rPr>
          <w:rFonts w:ascii="Times New Roman" w:eastAsiaTheme="minorHAnsi" w:hAnsi="Times New Roman"/>
          <w:sz w:val="24"/>
          <w:szCs w:val="24"/>
        </w:rPr>
        <w:t xml:space="preserve">ponsored </w:t>
      </w:r>
      <w:r w:rsidR="00E143CD">
        <w:rPr>
          <w:rFonts w:ascii="Times New Roman" w:eastAsiaTheme="minorHAnsi" w:hAnsi="Times New Roman"/>
          <w:sz w:val="24"/>
          <w:szCs w:val="24"/>
        </w:rPr>
        <w:t>S</w:t>
      </w:r>
      <w:r>
        <w:rPr>
          <w:rFonts w:ascii="Times New Roman" w:eastAsiaTheme="minorHAnsi" w:hAnsi="Times New Roman"/>
          <w:sz w:val="24"/>
          <w:szCs w:val="24"/>
        </w:rPr>
        <w:t xml:space="preserve">chemes (CSS). Given the functional responsibility and dependence on central resources, a </w:t>
      </w:r>
      <w:r w:rsidR="00374268" w:rsidRPr="00374268">
        <w:rPr>
          <w:rFonts w:ascii="Times New Roman" w:eastAsiaTheme="minorHAnsi" w:hAnsi="Times New Roman"/>
          <w:sz w:val="24"/>
          <w:szCs w:val="24"/>
        </w:rPr>
        <w:t>credible budget</w:t>
      </w:r>
      <w:r>
        <w:rPr>
          <w:rFonts w:ascii="Times New Roman" w:eastAsiaTheme="minorHAnsi" w:hAnsi="Times New Roman"/>
          <w:sz w:val="24"/>
          <w:szCs w:val="24"/>
        </w:rPr>
        <w:t xml:space="preserve"> becomes crucial to implement the planned policies. </w:t>
      </w:r>
    </w:p>
    <w:p w:rsidR="0079072F" w:rsidRDefault="0079072F" w:rsidP="00945201">
      <w:pPr>
        <w:spacing w:after="0" w:line="360" w:lineRule="auto"/>
        <w:jc w:val="both"/>
        <w:rPr>
          <w:rFonts w:ascii="Times New Roman" w:hAnsi="Times New Roman"/>
          <w:sz w:val="24"/>
          <w:szCs w:val="24"/>
        </w:rPr>
      </w:pPr>
    </w:p>
    <w:p w:rsidR="005C61A4" w:rsidRDefault="00396E79" w:rsidP="00945201">
      <w:pPr>
        <w:spacing w:after="0" w:line="360" w:lineRule="auto"/>
        <w:jc w:val="both"/>
        <w:rPr>
          <w:rFonts w:ascii="Times New Roman" w:hAnsi="Times New Roman"/>
          <w:sz w:val="24"/>
          <w:szCs w:val="24"/>
        </w:rPr>
      </w:pPr>
      <w:r>
        <w:rPr>
          <w:rFonts w:ascii="Times New Roman" w:hAnsi="Times New Roman"/>
          <w:sz w:val="24"/>
          <w:szCs w:val="24"/>
        </w:rPr>
        <w:lastRenderedPageBreak/>
        <w:t>A realistic budget minimizing deviation from budget estimates implies t</w:t>
      </w:r>
      <w:r w:rsidRPr="00BB666A">
        <w:rPr>
          <w:rFonts w:ascii="Times New Roman" w:hAnsi="Times New Roman"/>
          <w:sz w:val="24"/>
          <w:szCs w:val="24"/>
        </w:rPr>
        <w:t xml:space="preserve">he </w:t>
      </w:r>
      <w:r>
        <w:rPr>
          <w:rFonts w:ascii="Times New Roman" w:hAnsi="Times New Roman"/>
          <w:sz w:val="24"/>
          <w:szCs w:val="24"/>
        </w:rPr>
        <w:t xml:space="preserve">capacity </w:t>
      </w:r>
      <w:r w:rsidRPr="00BB666A">
        <w:rPr>
          <w:rFonts w:ascii="Times New Roman" w:hAnsi="Times New Roman"/>
          <w:sz w:val="24"/>
          <w:szCs w:val="24"/>
        </w:rPr>
        <w:t>of the Government to deliver the public services</w:t>
      </w:r>
      <w:r>
        <w:rPr>
          <w:rFonts w:ascii="Times New Roman" w:hAnsi="Times New Roman"/>
          <w:sz w:val="24"/>
          <w:szCs w:val="24"/>
        </w:rPr>
        <w:t xml:space="preserve"> as promised in budget. </w:t>
      </w:r>
      <w:r w:rsidR="00FD613E">
        <w:rPr>
          <w:rFonts w:ascii="Times New Roman" w:hAnsi="Times New Roman"/>
          <w:sz w:val="24"/>
          <w:szCs w:val="24"/>
        </w:rPr>
        <w:t>A</w:t>
      </w:r>
      <w:r>
        <w:rPr>
          <w:rFonts w:ascii="Times New Roman" w:hAnsi="Times New Roman"/>
          <w:sz w:val="24"/>
          <w:szCs w:val="24"/>
        </w:rPr>
        <w:t xml:space="preserve">bility </w:t>
      </w:r>
      <w:r w:rsidRPr="00BB666A">
        <w:rPr>
          <w:rFonts w:ascii="Times New Roman" w:hAnsi="Times New Roman"/>
          <w:sz w:val="24"/>
          <w:szCs w:val="24"/>
        </w:rPr>
        <w:t xml:space="preserve">to raise the projected revenue and </w:t>
      </w:r>
      <w:r w:rsidR="00FD613E">
        <w:rPr>
          <w:rFonts w:ascii="Times New Roman" w:hAnsi="Times New Roman"/>
          <w:sz w:val="24"/>
          <w:szCs w:val="24"/>
        </w:rPr>
        <w:t xml:space="preserve">utilize </w:t>
      </w:r>
      <w:r w:rsidRPr="00BB666A">
        <w:rPr>
          <w:rFonts w:ascii="Times New Roman" w:hAnsi="Times New Roman"/>
          <w:sz w:val="24"/>
          <w:szCs w:val="24"/>
        </w:rPr>
        <w:t>the budgeted expenditure</w:t>
      </w:r>
      <w:r>
        <w:rPr>
          <w:rFonts w:ascii="Times New Roman" w:hAnsi="Times New Roman"/>
          <w:sz w:val="24"/>
          <w:szCs w:val="24"/>
        </w:rPr>
        <w:t xml:space="preserve"> becomes crucial in this context. The importance of this feature lies in avoiding bias in forecasting the revenues and allocating resources to various programs. Higher projection of revenue to fund announced programs creates huge inconsistencies in budget execution. At the same </w:t>
      </w:r>
      <w:r w:rsidR="00374268">
        <w:rPr>
          <w:rFonts w:ascii="Times New Roman" w:hAnsi="Times New Roman"/>
          <w:sz w:val="24"/>
          <w:szCs w:val="24"/>
        </w:rPr>
        <w:t xml:space="preserve">time </w:t>
      </w:r>
      <w:r>
        <w:rPr>
          <w:rFonts w:ascii="Times New Roman" w:hAnsi="Times New Roman"/>
          <w:sz w:val="24"/>
          <w:szCs w:val="24"/>
        </w:rPr>
        <w:t xml:space="preserve">underestimating the revenue results in utilization of excess funds without proper planning and going through established accountability framework. </w:t>
      </w:r>
      <w:r w:rsidR="00FD613E">
        <w:rPr>
          <w:rFonts w:ascii="Times New Roman" w:hAnsi="Times New Roman"/>
          <w:sz w:val="24"/>
          <w:szCs w:val="24"/>
        </w:rPr>
        <w:t xml:space="preserve">As </w:t>
      </w:r>
      <w:r w:rsidRPr="00396E79">
        <w:rPr>
          <w:rFonts w:ascii="Times New Roman" w:hAnsi="Times New Roman"/>
          <w:sz w:val="24"/>
          <w:szCs w:val="24"/>
        </w:rPr>
        <w:t>Sikkim</w:t>
      </w:r>
      <w:r w:rsidR="00FD613E">
        <w:rPr>
          <w:rFonts w:ascii="Times New Roman" w:hAnsi="Times New Roman"/>
          <w:sz w:val="24"/>
          <w:szCs w:val="24"/>
        </w:rPr>
        <w:t xml:space="preserve"> </w:t>
      </w:r>
      <w:r w:rsidRPr="00396E79">
        <w:rPr>
          <w:rFonts w:ascii="Times New Roman" w:hAnsi="Times New Roman"/>
          <w:sz w:val="24"/>
          <w:szCs w:val="24"/>
        </w:rPr>
        <w:t>depend</w:t>
      </w:r>
      <w:r w:rsidR="00FD613E">
        <w:rPr>
          <w:rFonts w:ascii="Times New Roman" w:hAnsi="Times New Roman"/>
          <w:sz w:val="24"/>
          <w:szCs w:val="24"/>
        </w:rPr>
        <w:t>s</w:t>
      </w:r>
      <w:r w:rsidRPr="00396E79">
        <w:rPr>
          <w:rFonts w:ascii="Times New Roman" w:hAnsi="Times New Roman"/>
          <w:sz w:val="24"/>
          <w:szCs w:val="24"/>
        </w:rPr>
        <w:t xml:space="preserve"> considerably on the central transfers, realizing the estimated resource depend</w:t>
      </w:r>
      <w:r w:rsidR="00FD613E">
        <w:rPr>
          <w:rFonts w:ascii="Times New Roman" w:hAnsi="Times New Roman"/>
          <w:sz w:val="24"/>
          <w:szCs w:val="24"/>
        </w:rPr>
        <w:t>s</w:t>
      </w:r>
      <w:r w:rsidRPr="00396E79">
        <w:rPr>
          <w:rFonts w:ascii="Times New Roman" w:hAnsi="Times New Roman"/>
          <w:sz w:val="24"/>
          <w:szCs w:val="24"/>
        </w:rPr>
        <w:t xml:space="preserve"> upon the actual flow of grants.</w:t>
      </w:r>
    </w:p>
    <w:p w:rsidR="005C61A4" w:rsidRDefault="005C61A4" w:rsidP="00945201">
      <w:pPr>
        <w:spacing w:after="0" w:line="360" w:lineRule="auto"/>
        <w:jc w:val="both"/>
        <w:rPr>
          <w:rFonts w:ascii="Times New Roman" w:hAnsi="Times New Roman"/>
          <w:sz w:val="24"/>
          <w:szCs w:val="24"/>
        </w:rPr>
      </w:pPr>
    </w:p>
    <w:p w:rsidR="00AA7676" w:rsidRDefault="00374268" w:rsidP="00945201">
      <w:pPr>
        <w:spacing w:after="0" w:line="360" w:lineRule="auto"/>
        <w:jc w:val="both"/>
        <w:rPr>
          <w:rFonts w:ascii="Times New Roman" w:hAnsi="Times New Roman"/>
          <w:sz w:val="24"/>
          <w:szCs w:val="24"/>
        </w:rPr>
      </w:pPr>
      <w:r w:rsidRPr="00374268">
        <w:rPr>
          <w:rFonts w:ascii="Times New Roman" w:hAnsi="Times New Roman"/>
          <w:sz w:val="24"/>
          <w:szCs w:val="24"/>
        </w:rPr>
        <w:t xml:space="preserve">Comparison of actual revenue generated, and expenditure incurred with the original approved budget and the extent of deviation from the projections gives the measure of budget credibility. </w:t>
      </w:r>
      <w:r w:rsidR="00AA7676">
        <w:rPr>
          <w:rFonts w:ascii="Times New Roman" w:hAnsi="Times New Roman"/>
          <w:sz w:val="24"/>
          <w:szCs w:val="24"/>
        </w:rPr>
        <w:t xml:space="preserve">In this section, a comparison between budget estimates and outturns </w:t>
      </w:r>
      <w:r w:rsidR="00A14C58">
        <w:rPr>
          <w:rFonts w:ascii="Times New Roman" w:hAnsi="Times New Roman"/>
          <w:sz w:val="24"/>
          <w:szCs w:val="24"/>
        </w:rPr>
        <w:t xml:space="preserve">of revenue </w:t>
      </w:r>
      <w:r w:rsidR="00A14C58" w:rsidRPr="00C543FC">
        <w:rPr>
          <w:rFonts w:ascii="Times New Roman" w:hAnsi="Times New Roman"/>
          <w:sz w:val="24"/>
          <w:szCs w:val="24"/>
        </w:rPr>
        <w:t xml:space="preserve">receipts and expenditure </w:t>
      </w:r>
      <w:r w:rsidR="00AA7676" w:rsidRPr="00C543FC">
        <w:rPr>
          <w:rFonts w:ascii="Times New Roman" w:hAnsi="Times New Roman"/>
          <w:sz w:val="24"/>
          <w:szCs w:val="24"/>
        </w:rPr>
        <w:t>for the year 201</w:t>
      </w:r>
      <w:r w:rsidR="0079072F">
        <w:rPr>
          <w:rFonts w:ascii="Times New Roman" w:hAnsi="Times New Roman"/>
          <w:sz w:val="24"/>
          <w:szCs w:val="24"/>
        </w:rPr>
        <w:t>9</w:t>
      </w:r>
      <w:r w:rsidR="00AA7676" w:rsidRPr="00C543FC">
        <w:rPr>
          <w:rFonts w:ascii="Times New Roman" w:hAnsi="Times New Roman"/>
          <w:sz w:val="24"/>
          <w:szCs w:val="24"/>
        </w:rPr>
        <w:t>-</w:t>
      </w:r>
      <w:r w:rsidR="0079072F">
        <w:rPr>
          <w:rFonts w:ascii="Times New Roman" w:hAnsi="Times New Roman"/>
          <w:sz w:val="24"/>
          <w:szCs w:val="24"/>
        </w:rPr>
        <w:t>20</w:t>
      </w:r>
      <w:r w:rsidR="00AA7676" w:rsidRPr="00C543FC">
        <w:rPr>
          <w:rFonts w:ascii="Times New Roman" w:hAnsi="Times New Roman"/>
          <w:sz w:val="24"/>
          <w:szCs w:val="24"/>
        </w:rPr>
        <w:t xml:space="preserve"> is provided</w:t>
      </w:r>
      <w:r w:rsidR="001260C7" w:rsidRPr="00C543FC">
        <w:rPr>
          <w:rFonts w:ascii="Times New Roman" w:hAnsi="Times New Roman"/>
          <w:sz w:val="24"/>
          <w:szCs w:val="24"/>
        </w:rPr>
        <w:t xml:space="preserve"> in </w:t>
      </w:r>
      <w:r w:rsidR="00E143CD">
        <w:rPr>
          <w:rFonts w:ascii="Times New Roman" w:hAnsi="Times New Roman"/>
          <w:sz w:val="24"/>
          <w:szCs w:val="24"/>
        </w:rPr>
        <w:t>t</w:t>
      </w:r>
      <w:r w:rsidR="00AA7676" w:rsidRPr="00C543FC">
        <w:rPr>
          <w:rFonts w:ascii="Times New Roman" w:hAnsi="Times New Roman"/>
          <w:sz w:val="24"/>
          <w:szCs w:val="24"/>
        </w:rPr>
        <w:t xml:space="preserve">able </w:t>
      </w:r>
      <w:r w:rsidR="00C543FC" w:rsidRPr="00C543FC">
        <w:rPr>
          <w:rFonts w:ascii="Times New Roman" w:hAnsi="Times New Roman"/>
          <w:sz w:val="24"/>
          <w:szCs w:val="24"/>
        </w:rPr>
        <w:t>4.3</w:t>
      </w:r>
      <w:r w:rsidR="00AA7676" w:rsidRPr="00C543FC">
        <w:rPr>
          <w:rFonts w:ascii="Times New Roman" w:hAnsi="Times New Roman"/>
          <w:sz w:val="24"/>
          <w:szCs w:val="24"/>
        </w:rPr>
        <w:t xml:space="preserve"> </w:t>
      </w:r>
      <w:r w:rsidR="001260C7" w:rsidRPr="00C543FC">
        <w:rPr>
          <w:rFonts w:ascii="Times New Roman" w:hAnsi="Times New Roman"/>
          <w:sz w:val="24"/>
          <w:szCs w:val="24"/>
        </w:rPr>
        <w:t xml:space="preserve">to </w:t>
      </w:r>
      <w:r w:rsidR="00AA7676" w:rsidRPr="00C543FC">
        <w:rPr>
          <w:rFonts w:ascii="Times New Roman" w:hAnsi="Times New Roman"/>
          <w:sz w:val="24"/>
          <w:szCs w:val="24"/>
        </w:rPr>
        <w:t xml:space="preserve">show the </w:t>
      </w:r>
      <w:r w:rsidR="00A14C58" w:rsidRPr="00C543FC">
        <w:rPr>
          <w:rFonts w:ascii="Times New Roman" w:hAnsi="Times New Roman"/>
          <w:sz w:val="24"/>
          <w:szCs w:val="24"/>
        </w:rPr>
        <w:t>deviation</w:t>
      </w:r>
      <w:r w:rsidR="00A14C58">
        <w:rPr>
          <w:rFonts w:ascii="Times New Roman" w:hAnsi="Times New Roman"/>
          <w:sz w:val="24"/>
          <w:szCs w:val="24"/>
        </w:rPr>
        <w:t xml:space="preserve"> from budget estimates.</w:t>
      </w:r>
      <w:r w:rsidR="001260C7">
        <w:rPr>
          <w:rFonts w:ascii="Times New Roman" w:hAnsi="Times New Roman"/>
          <w:sz w:val="24"/>
          <w:szCs w:val="24"/>
        </w:rPr>
        <w:t xml:space="preserve"> </w:t>
      </w:r>
      <w:r w:rsidR="00E7447F" w:rsidRPr="00E7447F">
        <w:rPr>
          <w:rFonts w:ascii="Times New Roman" w:hAnsi="Times New Roman"/>
          <w:sz w:val="24"/>
          <w:szCs w:val="24"/>
        </w:rPr>
        <w:t>This exercise on budget credibility helps understanding many of the observation made earlier relating to revenue effort and spending pattern.</w:t>
      </w:r>
    </w:p>
    <w:p w:rsidR="00CC2721" w:rsidRDefault="00CC2721" w:rsidP="00BF5A52">
      <w:pPr>
        <w:spacing w:after="0" w:line="360" w:lineRule="auto"/>
        <w:jc w:val="both"/>
        <w:rPr>
          <w:rFonts w:ascii="Times New Roman" w:hAnsi="Times New Roman"/>
          <w:sz w:val="24"/>
          <w:szCs w:val="24"/>
        </w:rPr>
      </w:pPr>
    </w:p>
    <w:p w:rsidR="00F52848" w:rsidRPr="007D453B" w:rsidRDefault="00F52848" w:rsidP="00F52848">
      <w:pPr>
        <w:spacing w:after="0" w:line="240" w:lineRule="auto"/>
        <w:ind w:firstLine="720"/>
        <w:jc w:val="center"/>
        <w:rPr>
          <w:rFonts w:ascii="Times New Roman" w:hAnsi="Times New Roman"/>
          <w:bCs/>
        </w:rPr>
      </w:pPr>
      <w:r w:rsidRPr="007D453B">
        <w:rPr>
          <w:rFonts w:ascii="Times New Roman" w:hAnsi="Times New Roman"/>
          <w:b/>
        </w:rPr>
        <w:t>Table 4.3</w:t>
      </w:r>
      <w:r w:rsidR="00E143CD">
        <w:rPr>
          <w:rFonts w:ascii="Times New Roman" w:hAnsi="Times New Roman"/>
          <w:b/>
        </w:rPr>
        <w:t xml:space="preserve">: </w:t>
      </w:r>
      <w:r w:rsidRPr="007D453B">
        <w:rPr>
          <w:rFonts w:ascii="Times New Roman" w:hAnsi="Times New Roman"/>
          <w:b/>
        </w:rPr>
        <w:t xml:space="preserve">Budget Estimates and Outturns for the </w:t>
      </w:r>
      <w:r w:rsidR="00E143CD">
        <w:rPr>
          <w:rFonts w:ascii="Times New Roman" w:hAnsi="Times New Roman"/>
          <w:b/>
        </w:rPr>
        <w:t>Y</w:t>
      </w:r>
      <w:r w:rsidRPr="007D453B">
        <w:rPr>
          <w:rFonts w:ascii="Times New Roman" w:hAnsi="Times New Roman"/>
          <w:b/>
        </w:rPr>
        <w:t>ear 201</w:t>
      </w:r>
      <w:r w:rsidR="00484FC5">
        <w:rPr>
          <w:rFonts w:ascii="Times New Roman" w:hAnsi="Times New Roman"/>
          <w:b/>
        </w:rPr>
        <w:t>9-20</w:t>
      </w:r>
    </w:p>
    <w:p w:rsidR="00F52848" w:rsidRPr="00E143CD" w:rsidRDefault="00F52848" w:rsidP="00F52848">
      <w:pPr>
        <w:spacing w:after="0" w:line="240" w:lineRule="auto"/>
        <w:ind w:firstLine="720"/>
        <w:jc w:val="right"/>
        <w:rPr>
          <w:rFonts w:ascii="Times New Roman" w:hAnsi="Times New Roman"/>
          <w:b/>
          <w:bCs/>
          <w:i/>
          <w:sz w:val="20"/>
          <w:szCs w:val="20"/>
        </w:rPr>
      </w:pPr>
      <w:r w:rsidRPr="00E143CD">
        <w:rPr>
          <w:rFonts w:ascii="Times New Roman" w:hAnsi="Times New Roman"/>
          <w:b/>
          <w:bCs/>
          <w:i/>
          <w:sz w:val="20"/>
          <w:szCs w:val="20"/>
        </w:rPr>
        <w:t xml:space="preserve">(Rs. </w:t>
      </w:r>
      <w:r w:rsidR="00E143CD">
        <w:rPr>
          <w:rFonts w:ascii="Times New Roman" w:hAnsi="Times New Roman"/>
          <w:b/>
          <w:bCs/>
          <w:i/>
          <w:sz w:val="20"/>
          <w:szCs w:val="20"/>
        </w:rPr>
        <w:t xml:space="preserve">In </w:t>
      </w:r>
      <w:r w:rsidRPr="00E143CD">
        <w:rPr>
          <w:rFonts w:ascii="Times New Roman" w:hAnsi="Times New Roman"/>
          <w:b/>
          <w:bCs/>
          <w:i/>
          <w:sz w:val="20"/>
          <w:szCs w:val="20"/>
        </w:rPr>
        <w:t>Lakh)</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141"/>
        <w:gridCol w:w="1285"/>
        <w:gridCol w:w="1001"/>
        <w:gridCol w:w="1714"/>
        <w:gridCol w:w="1234"/>
      </w:tblGrid>
      <w:tr w:rsidR="00E143CD" w:rsidRPr="009C3425" w:rsidTr="00E143CD">
        <w:trPr>
          <w:trHeight w:val="726"/>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 </w:t>
            </w:r>
          </w:p>
        </w:tc>
        <w:tc>
          <w:tcPr>
            <w:tcW w:w="628" w:type="pct"/>
            <w:shd w:val="clear" w:color="auto" w:fill="auto"/>
            <w:vAlign w:val="center"/>
            <w:hideMark/>
          </w:tcPr>
          <w:p w:rsidR="00F52848" w:rsidRPr="009C3425" w:rsidRDefault="00F52848" w:rsidP="00E143CD">
            <w:pPr>
              <w:spacing w:after="0" w:line="240" w:lineRule="auto"/>
              <w:jc w:val="center"/>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2018-19</w:t>
            </w:r>
          </w:p>
        </w:tc>
        <w:tc>
          <w:tcPr>
            <w:tcW w:w="707" w:type="pct"/>
            <w:shd w:val="clear" w:color="auto" w:fill="auto"/>
            <w:vAlign w:val="center"/>
            <w:hideMark/>
          </w:tcPr>
          <w:p w:rsidR="00F52848" w:rsidRPr="009C3425" w:rsidRDefault="00F52848" w:rsidP="00E143CD">
            <w:pPr>
              <w:spacing w:after="0" w:line="240" w:lineRule="auto"/>
              <w:jc w:val="center"/>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2019-20</w:t>
            </w:r>
          </w:p>
        </w:tc>
        <w:tc>
          <w:tcPr>
            <w:tcW w:w="551" w:type="pct"/>
            <w:shd w:val="clear" w:color="auto" w:fill="auto"/>
            <w:vAlign w:val="center"/>
            <w:hideMark/>
          </w:tcPr>
          <w:p w:rsidR="00F52848" w:rsidRPr="009C3425" w:rsidRDefault="00F52848" w:rsidP="00E143CD">
            <w:pPr>
              <w:spacing w:after="0" w:line="240" w:lineRule="auto"/>
              <w:jc w:val="center"/>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2019-20 (BE)</w:t>
            </w:r>
          </w:p>
        </w:tc>
        <w:tc>
          <w:tcPr>
            <w:tcW w:w="943" w:type="pct"/>
            <w:shd w:val="clear" w:color="auto" w:fill="auto"/>
            <w:vAlign w:val="center"/>
            <w:hideMark/>
          </w:tcPr>
          <w:p w:rsidR="00F52848" w:rsidRPr="009C3425" w:rsidRDefault="00F52848" w:rsidP="00E143CD">
            <w:pPr>
              <w:spacing w:after="0" w:line="240" w:lineRule="auto"/>
              <w:jc w:val="center"/>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Difference (Actual to BE – 2019-20)</w:t>
            </w:r>
          </w:p>
        </w:tc>
        <w:tc>
          <w:tcPr>
            <w:tcW w:w="679" w:type="pct"/>
            <w:shd w:val="clear" w:color="auto" w:fill="auto"/>
            <w:vAlign w:val="center"/>
            <w:hideMark/>
          </w:tcPr>
          <w:p w:rsidR="00F52848" w:rsidRPr="009C3425" w:rsidRDefault="00F52848" w:rsidP="00E143CD">
            <w:pPr>
              <w:spacing w:after="0" w:line="240" w:lineRule="auto"/>
              <w:jc w:val="center"/>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Difference in % to BE</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Revenues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597040</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484127</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739744</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-255617</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-34.55</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Own Tax Revenues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94802</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97040</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122022</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-24981</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-20.47</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Own Non-Tax Revenues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65778</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69340</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70454</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-1114</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-1.58</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Central Transfers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436460</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317746</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547268</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-229522</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-41.94</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color w:val="000000"/>
                <w:sz w:val="20"/>
                <w:szCs w:val="20"/>
                <w:lang w:val="en-IN" w:eastAsia="en-IN"/>
              </w:rPr>
            </w:pPr>
            <w:r w:rsidRPr="009C3425">
              <w:rPr>
                <w:rFonts w:ascii="Times New Roman" w:eastAsia="Times New Roman" w:hAnsi="Times New Roman"/>
                <w:color w:val="000000"/>
                <w:sz w:val="20"/>
                <w:szCs w:val="20"/>
                <w:lang w:val="en-IN" w:eastAsia="en-IN"/>
              </w:rPr>
              <w:t>Tax Devolution</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278961</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229556</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296952</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-67396</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-22.70</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color w:val="000000"/>
                <w:sz w:val="20"/>
                <w:szCs w:val="20"/>
                <w:lang w:val="en-IN" w:eastAsia="en-IN"/>
              </w:rPr>
            </w:pPr>
            <w:r w:rsidRPr="009C3425">
              <w:rPr>
                <w:rFonts w:ascii="Times New Roman" w:eastAsia="Times New Roman" w:hAnsi="Times New Roman"/>
                <w:color w:val="000000"/>
                <w:sz w:val="20"/>
                <w:szCs w:val="20"/>
                <w:lang w:val="en-IN" w:eastAsia="en-IN"/>
              </w:rPr>
              <w:t>Grants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157499</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88190</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250316</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-162126</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-64.77</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Revenue Expenditure</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522658</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618508</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712909</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-94401</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-13.24</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color w:val="000000"/>
                <w:sz w:val="20"/>
                <w:szCs w:val="20"/>
                <w:lang w:val="en-IN" w:eastAsia="en-IN"/>
              </w:rPr>
            </w:pPr>
            <w:r w:rsidRPr="009C3425">
              <w:rPr>
                <w:rFonts w:ascii="Times New Roman" w:eastAsia="Times New Roman" w:hAnsi="Times New Roman"/>
                <w:color w:val="000000"/>
                <w:sz w:val="20"/>
                <w:szCs w:val="20"/>
                <w:lang w:val="en-IN" w:eastAsia="en-IN"/>
              </w:rPr>
              <w:t>General Services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196025</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241977</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282590</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40613</w:t>
            </w:r>
          </w:p>
        </w:tc>
        <w:tc>
          <w:tcPr>
            <w:tcW w:w="679" w:type="pct"/>
            <w:shd w:val="clear" w:color="auto" w:fill="auto"/>
            <w:noWrap/>
            <w:vAlign w:val="center"/>
          </w:tcPr>
          <w:p w:rsidR="00F52848" w:rsidRPr="009C3425" w:rsidRDefault="00AE4408" w:rsidP="00E143CD">
            <w:pPr>
              <w:spacing w:after="0" w:line="240" w:lineRule="auto"/>
              <w:jc w:val="center"/>
              <w:rPr>
                <w:rFonts w:ascii="Times New Roman" w:hAnsi="Times New Roman"/>
                <w:sz w:val="20"/>
                <w:szCs w:val="20"/>
              </w:rPr>
            </w:pPr>
            <w:r>
              <w:rPr>
                <w:rFonts w:ascii="Times New Roman" w:hAnsi="Times New Roman"/>
                <w:sz w:val="20"/>
                <w:szCs w:val="20"/>
              </w:rPr>
              <w:t>-</w:t>
            </w:r>
            <w:r w:rsidR="00F52848" w:rsidRPr="009C3425">
              <w:rPr>
                <w:rFonts w:ascii="Times New Roman" w:hAnsi="Times New Roman"/>
                <w:sz w:val="20"/>
                <w:szCs w:val="20"/>
              </w:rPr>
              <w:t>14.37</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color w:val="000000"/>
                <w:sz w:val="20"/>
                <w:szCs w:val="20"/>
                <w:lang w:val="en-IN" w:eastAsia="en-IN"/>
              </w:rPr>
            </w:pPr>
            <w:r w:rsidRPr="009C3425">
              <w:rPr>
                <w:rFonts w:ascii="Times New Roman" w:eastAsia="Times New Roman" w:hAnsi="Times New Roman"/>
                <w:color w:val="000000"/>
                <w:sz w:val="20"/>
                <w:szCs w:val="20"/>
                <w:lang w:val="en-IN" w:eastAsia="en-IN"/>
              </w:rPr>
              <w:t>Social Services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207177</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225369</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252676</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27307</w:t>
            </w:r>
          </w:p>
        </w:tc>
        <w:tc>
          <w:tcPr>
            <w:tcW w:w="679" w:type="pct"/>
            <w:shd w:val="clear" w:color="auto" w:fill="auto"/>
            <w:noWrap/>
            <w:vAlign w:val="center"/>
          </w:tcPr>
          <w:p w:rsidR="00F52848" w:rsidRPr="009C3425" w:rsidRDefault="00AE4408" w:rsidP="00E143CD">
            <w:pPr>
              <w:spacing w:after="0" w:line="240" w:lineRule="auto"/>
              <w:jc w:val="center"/>
              <w:rPr>
                <w:rFonts w:ascii="Times New Roman" w:hAnsi="Times New Roman"/>
                <w:sz w:val="20"/>
                <w:szCs w:val="20"/>
              </w:rPr>
            </w:pPr>
            <w:r>
              <w:rPr>
                <w:rFonts w:ascii="Times New Roman" w:hAnsi="Times New Roman"/>
                <w:sz w:val="20"/>
                <w:szCs w:val="20"/>
              </w:rPr>
              <w:t>-</w:t>
            </w:r>
            <w:r w:rsidR="00F52848" w:rsidRPr="009C3425">
              <w:rPr>
                <w:rFonts w:ascii="Times New Roman" w:hAnsi="Times New Roman"/>
                <w:sz w:val="20"/>
                <w:szCs w:val="20"/>
              </w:rPr>
              <w:t>10.81</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color w:val="000000"/>
                <w:sz w:val="20"/>
                <w:szCs w:val="20"/>
                <w:lang w:val="en-IN" w:eastAsia="en-IN"/>
              </w:rPr>
            </w:pPr>
            <w:r w:rsidRPr="009C3425">
              <w:rPr>
                <w:rFonts w:ascii="Times New Roman" w:eastAsia="Times New Roman" w:hAnsi="Times New Roman"/>
                <w:color w:val="000000"/>
                <w:sz w:val="20"/>
                <w:szCs w:val="20"/>
                <w:lang w:val="en-IN" w:eastAsia="en-IN"/>
              </w:rPr>
              <w:t>Economic Services</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112817</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142776</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167790</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25014</w:t>
            </w:r>
          </w:p>
        </w:tc>
        <w:tc>
          <w:tcPr>
            <w:tcW w:w="679" w:type="pct"/>
            <w:shd w:val="clear" w:color="auto" w:fill="auto"/>
            <w:noWrap/>
            <w:vAlign w:val="center"/>
          </w:tcPr>
          <w:p w:rsidR="00F52848" w:rsidRPr="009C3425" w:rsidRDefault="00AE4408" w:rsidP="00E143CD">
            <w:pPr>
              <w:spacing w:after="0" w:line="240" w:lineRule="auto"/>
              <w:jc w:val="center"/>
              <w:rPr>
                <w:rFonts w:ascii="Times New Roman" w:hAnsi="Times New Roman"/>
                <w:sz w:val="20"/>
                <w:szCs w:val="20"/>
              </w:rPr>
            </w:pPr>
            <w:r>
              <w:rPr>
                <w:rFonts w:ascii="Times New Roman" w:hAnsi="Times New Roman"/>
                <w:sz w:val="20"/>
                <w:szCs w:val="20"/>
              </w:rPr>
              <w:t>-</w:t>
            </w:r>
            <w:r w:rsidR="00F52848" w:rsidRPr="009C3425">
              <w:rPr>
                <w:rFonts w:ascii="Times New Roman" w:hAnsi="Times New Roman"/>
                <w:sz w:val="20"/>
                <w:szCs w:val="20"/>
              </w:rPr>
              <w:t>14.91</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Capital Expenditure</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133611</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73738</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112135</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-38397</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-34.24</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color w:val="000000"/>
                <w:sz w:val="20"/>
                <w:szCs w:val="20"/>
                <w:lang w:val="en-IN" w:eastAsia="en-IN"/>
              </w:rPr>
            </w:pPr>
            <w:r w:rsidRPr="009C3425">
              <w:rPr>
                <w:rFonts w:ascii="Times New Roman" w:eastAsia="Times New Roman" w:hAnsi="Times New Roman"/>
                <w:color w:val="000000"/>
                <w:sz w:val="20"/>
                <w:szCs w:val="20"/>
                <w:lang w:val="en-IN" w:eastAsia="en-IN"/>
              </w:rPr>
              <w:t>Capital Outlay</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129131</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72061</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110970</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-38909</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-35.06</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color w:val="000000"/>
                <w:sz w:val="20"/>
                <w:szCs w:val="20"/>
                <w:lang w:val="en-IN" w:eastAsia="en-IN"/>
              </w:rPr>
            </w:pPr>
            <w:r w:rsidRPr="009C3425">
              <w:rPr>
                <w:rFonts w:ascii="Times New Roman" w:eastAsia="Times New Roman" w:hAnsi="Times New Roman"/>
                <w:color w:val="000000"/>
                <w:sz w:val="20"/>
                <w:szCs w:val="20"/>
                <w:lang w:val="en-IN" w:eastAsia="en-IN"/>
              </w:rPr>
              <w:t>Net Lending</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4480</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1677</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1164</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513</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sz w:val="20"/>
                <w:szCs w:val="20"/>
              </w:rPr>
            </w:pPr>
            <w:r w:rsidRPr="009C3425">
              <w:rPr>
                <w:rFonts w:ascii="Times New Roman" w:hAnsi="Times New Roman"/>
                <w:sz w:val="20"/>
                <w:szCs w:val="20"/>
              </w:rPr>
              <w:t>44.02</w:t>
            </w: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Revenue Deficit</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-74382</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134381</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-26835</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161216</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Fiscal Deficit</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59229</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208118</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85299</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122819</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Primary Deficit</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15924</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157150</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31581</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125569</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p>
        </w:tc>
      </w:tr>
      <w:tr w:rsidR="00E143CD" w:rsidRPr="009C3425" w:rsidTr="00E143CD">
        <w:trPr>
          <w:trHeight w:val="277"/>
        </w:trPr>
        <w:tc>
          <w:tcPr>
            <w:tcW w:w="1492" w:type="pct"/>
            <w:shd w:val="clear" w:color="auto" w:fill="auto"/>
            <w:noWrap/>
            <w:vAlign w:val="center"/>
            <w:hideMark/>
          </w:tcPr>
          <w:p w:rsidR="00F52848" w:rsidRPr="009C3425" w:rsidRDefault="00F52848" w:rsidP="00E143CD">
            <w:pPr>
              <w:spacing w:after="0" w:line="240" w:lineRule="auto"/>
              <w:rPr>
                <w:rFonts w:ascii="Times New Roman" w:eastAsia="Times New Roman" w:hAnsi="Times New Roman"/>
                <w:b/>
                <w:bCs/>
                <w:color w:val="000000"/>
                <w:sz w:val="20"/>
                <w:szCs w:val="20"/>
                <w:lang w:val="en-IN" w:eastAsia="en-IN"/>
              </w:rPr>
            </w:pPr>
            <w:r w:rsidRPr="009C3425">
              <w:rPr>
                <w:rFonts w:ascii="Times New Roman" w:eastAsia="Times New Roman" w:hAnsi="Times New Roman"/>
                <w:b/>
                <w:bCs/>
                <w:color w:val="000000"/>
                <w:sz w:val="20"/>
                <w:szCs w:val="20"/>
                <w:lang w:val="en-IN" w:eastAsia="en-IN"/>
              </w:rPr>
              <w:t>Outstanding Debt</w:t>
            </w:r>
          </w:p>
        </w:tc>
        <w:tc>
          <w:tcPr>
            <w:tcW w:w="628"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633507</w:t>
            </w:r>
          </w:p>
        </w:tc>
        <w:tc>
          <w:tcPr>
            <w:tcW w:w="707"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740067</w:t>
            </w:r>
          </w:p>
        </w:tc>
        <w:tc>
          <w:tcPr>
            <w:tcW w:w="551"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711404</w:t>
            </w:r>
          </w:p>
        </w:tc>
        <w:tc>
          <w:tcPr>
            <w:tcW w:w="943"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r w:rsidRPr="009C3425">
              <w:rPr>
                <w:rFonts w:ascii="Times New Roman" w:hAnsi="Times New Roman"/>
                <w:b/>
                <w:sz w:val="20"/>
                <w:szCs w:val="20"/>
              </w:rPr>
              <w:t>28660</w:t>
            </w:r>
          </w:p>
        </w:tc>
        <w:tc>
          <w:tcPr>
            <w:tcW w:w="679" w:type="pct"/>
            <w:shd w:val="clear" w:color="auto" w:fill="auto"/>
            <w:noWrap/>
            <w:vAlign w:val="center"/>
          </w:tcPr>
          <w:p w:rsidR="00F52848" w:rsidRPr="009C3425" w:rsidRDefault="00F52848" w:rsidP="00E143CD">
            <w:pPr>
              <w:spacing w:after="0" w:line="240" w:lineRule="auto"/>
              <w:jc w:val="center"/>
              <w:rPr>
                <w:rFonts w:ascii="Times New Roman" w:hAnsi="Times New Roman"/>
                <w:b/>
                <w:sz w:val="20"/>
                <w:szCs w:val="20"/>
              </w:rPr>
            </w:pPr>
          </w:p>
        </w:tc>
      </w:tr>
    </w:tbl>
    <w:p w:rsidR="00F52848" w:rsidRDefault="00F52848" w:rsidP="00F52848">
      <w:pPr>
        <w:spacing w:after="0" w:line="240" w:lineRule="auto"/>
        <w:jc w:val="both"/>
        <w:rPr>
          <w:rFonts w:ascii="Times New Roman" w:hAnsi="Times New Roman"/>
          <w:sz w:val="20"/>
          <w:szCs w:val="20"/>
        </w:rPr>
      </w:pPr>
      <w:r w:rsidRPr="00E143CD">
        <w:rPr>
          <w:rFonts w:ascii="Times New Roman" w:hAnsi="Times New Roman"/>
          <w:b/>
          <w:sz w:val="20"/>
          <w:szCs w:val="20"/>
        </w:rPr>
        <w:t>Source:</w:t>
      </w:r>
      <w:r w:rsidRPr="00B6649C">
        <w:rPr>
          <w:rFonts w:ascii="Times New Roman" w:hAnsi="Times New Roman"/>
          <w:sz w:val="20"/>
          <w:szCs w:val="20"/>
        </w:rPr>
        <w:t xml:space="preserve"> Basic data – Finance Accounts and Budget Document for the relevant</w:t>
      </w:r>
      <w:r>
        <w:rPr>
          <w:rFonts w:ascii="Times New Roman" w:hAnsi="Times New Roman"/>
          <w:sz w:val="20"/>
          <w:szCs w:val="20"/>
        </w:rPr>
        <w:t xml:space="preserve"> years</w:t>
      </w:r>
      <w:r w:rsidR="00E143CD">
        <w:rPr>
          <w:rFonts w:ascii="Times New Roman" w:hAnsi="Times New Roman"/>
          <w:sz w:val="20"/>
          <w:szCs w:val="20"/>
        </w:rPr>
        <w:t>.</w:t>
      </w:r>
    </w:p>
    <w:p w:rsidR="00F52848" w:rsidRPr="009C3425" w:rsidRDefault="00F52848" w:rsidP="00F52848">
      <w:pPr>
        <w:spacing w:after="0" w:line="240" w:lineRule="auto"/>
        <w:jc w:val="both"/>
        <w:rPr>
          <w:rFonts w:ascii="Times New Roman" w:hAnsi="Times New Roman"/>
          <w:sz w:val="20"/>
          <w:szCs w:val="20"/>
        </w:rPr>
      </w:pPr>
      <w:r w:rsidRPr="00E143CD">
        <w:rPr>
          <w:rFonts w:ascii="Times New Roman" w:hAnsi="Times New Roman"/>
          <w:b/>
          <w:sz w:val="20"/>
          <w:szCs w:val="20"/>
        </w:rPr>
        <w:t>Note:</w:t>
      </w:r>
      <w:r>
        <w:rPr>
          <w:rFonts w:ascii="Times New Roman" w:hAnsi="Times New Roman"/>
          <w:sz w:val="20"/>
          <w:szCs w:val="20"/>
        </w:rPr>
        <w:t xml:space="preserve"> Negative sign for revenue deficit indicates surplus</w:t>
      </w:r>
      <w:r w:rsidR="00E143CD">
        <w:rPr>
          <w:rFonts w:ascii="Times New Roman" w:hAnsi="Times New Roman"/>
          <w:sz w:val="20"/>
          <w:szCs w:val="20"/>
        </w:rPr>
        <w:t>.</w:t>
      </w:r>
    </w:p>
    <w:p w:rsidR="00E143CD" w:rsidRDefault="00E143CD" w:rsidP="00E143CD">
      <w:pPr>
        <w:spacing w:after="0" w:line="360" w:lineRule="auto"/>
        <w:jc w:val="both"/>
        <w:rPr>
          <w:rFonts w:ascii="Times New Roman" w:hAnsi="Times New Roman"/>
          <w:sz w:val="24"/>
          <w:szCs w:val="24"/>
        </w:rPr>
      </w:pPr>
      <w:r>
        <w:rPr>
          <w:rFonts w:ascii="Times New Roman" w:hAnsi="Times New Roman"/>
          <w:sz w:val="24"/>
          <w:szCs w:val="24"/>
        </w:rPr>
        <w:lastRenderedPageBreak/>
        <w:t>The sharp decline in growth of aggregate revenue receipt in 2019-20 over the previous year has already been discussed. In 2019-20, the government budgeted the aggregate revenue receipt at Rs.</w:t>
      </w:r>
      <w:r>
        <w:rPr>
          <w:rFonts w:ascii="Times New Roman" w:hAnsi="Times New Roman"/>
          <w:sz w:val="24"/>
          <w:szCs w:val="24"/>
        </w:rPr>
        <w:t xml:space="preserve"> </w:t>
      </w:r>
      <w:r>
        <w:rPr>
          <w:rFonts w:ascii="Times New Roman" w:hAnsi="Times New Roman"/>
          <w:sz w:val="24"/>
          <w:szCs w:val="24"/>
        </w:rPr>
        <w:t>7397.44 crores and managed to generate Rs.</w:t>
      </w:r>
      <w:r>
        <w:rPr>
          <w:rFonts w:ascii="Times New Roman" w:hAnsi="Times New Roman"/>
          <w:sz w:val="24"/>
          <w:szCs w:val="24"/>
        </w:rPr>
        <w:t xml:space="preserve"> </w:t>
      </w:r>
      <w:r>
        <w:rPr>
          <w:rFonts w:ascii="Times New Roman" w:hAnsi="Times New Roman"/>
          <w:sz w:val="24"/>
          <w:szCs w:val="24"/>
        </w:rPr>
        <w:t xml:space="preserve">4841.27 crores. When compared to the budget estimates, the actual receipts fell short </w:t>
      </w:r>
      <w:r w:rsidRPr="00C543FC">
        <w:rPr>
          <w:rFonts w:ascii="Times New Roman" w:hAnsi="Times New Roman"/>
          <w:sz w:val="24"/>
          <w:szCs w:val="24"/>
        </w:rPr>
        <w:t>of Rs.</w:t>
      </w:r>
      <w:r>
        <w:rPr>
          <w:rFonts w:ascii="Times New Roman" w:hAnsi="Times New Roman"/>
          <w:sz w:val="24"/>
          <w:szCs w:val="24"/>
        </w:rPr>
        <w:t xml:space="preserve"> </w:t>
      </w:r>
      <w:r>
        <w:rPr>
          <w:rFonts w:ascii="Times New Roman" w:hAnsi="Times New Roman"/>
          <w:sz w:val="24"/>
          <w:szCs w:val="24"/>
        </w:rPr>
        <w:t>2556.17</w:t>
      </w:r>
      <w:r w:rsidRPr="00C543FC">
        <w:rPr>
          <w:rFonts w:ascii="Times New Roman" w:hAnsi="Times New Roman"/>
          <w:sz w:val="24"/>
          <w:szCs w:val="24"/>
        </w:rPr>
        <w:t xml:space="preserve"> crores, which amounts to </w:t>
      </w:r>
      <w:r>
        <w:rPr>
          <w:rFonts w:ascii="Times New Roman" w:hAnsi="Times New Roman"/>
          <w:sz w:val="24"/>
          <w:szCs w:val="24"/>
        </w:rPr>
        <w:t xml:space="preserve">a large 34.55 </w:t>
      </w:r>
      <w:r w:rsidRPr="00C543FC">
        <w:rPr>
          <w:rFonts w:ascii="Times New Roman" w:hAnsi="Times New Roman"/>
          <w:sz w:val="24"/>
          <w:szCs w:val="24"/>
        </w:rPr>
        <w:t xml:space="preserve">percent of budget estimates (Table 4.3). </w:t>
      </w:r>
      <w:r>
        <w:rPr>
          <w:rFonts w:ascii="Times New Roman" w:hAnsi="Times New Roman"/>
          <w:sz w:val="24"/>
          <w:szCs w:val="24"/>
        </w:rPr>
        <w:t xml:space="preserve">Such a large deviation from budget estimates has the potential to distort all the spending plans of the government. According to Public Expenditure and Financial </w:t>
      </w:r>
      <w:r>
        <w:rPr>
          <w:rFonts w:ascii="Times New Roman" w:hAnsi="Times New Roman"/>
          <w:sz w:val="24"/>
          <w:szCs w:val="24"/>
        </w:rPr>
        <w:t>A</w:t>
      </w:r>
      <w:r>
        <w:rPr>
          <w:rFonts w:ascii="Times New Roman" w:hAnsi="Times New Roman"/>
          <w:sz w:val="24"/>
          <w:szCs w:val="24"/>
        </w:rPr>
        <w:t xml:space="preserve">ccountability (PEFA) framework, deviation above 8 percent gets the lowest score of D in an ordinal scale between A to D.  </w:t>
      </w:r>
    </w:p>
    <w:p w:rsidR="00E143CD" w:rsidRDefault="00E143CD" w:rsidP="00E143CD">
      <w:pPr>
        <w:spacing w:after="0" w:line="360" w:lineRule="auto"/>
        <w:jc w:val="both"/>
        <w:rPr>
          <w:rFonts w:ascii="Times New Roman" w:hAnsi="Times New Roman"/>
          <w:sz w:val="24"/>
          <w:szCs w:val="24"/>
        </w:rPr>
      </w:pPr>
    </w:p>
    <w:p w:rsidR="001D7E70" w:rsidRDefault="00BC7C58" w:rsidP="00BF5A52">
      <w:pPr>
        <w:spacing w:after="0" w:line="360" w:lineRule="auto"/>
        <w:jc w:val="both"/>
        <w:rPr>
          <w:rFonts w:ascii="Times New Roman" w:hAnsi="Times New Roman"/>
          <w:sz w:val="24"/>
          <w:szCs w:val="24"/>
        </w:rPr>
      </w:pPr>
      <w:r>
        <w:rPr>
          <w:rFonts w:ascii="Times New Roman" w:hAnsi="Times New Roman"/>
          <w:sz w:val="24"/>
          <w:szCs w:val="24"/>
        </w:rPr>
        <w:t xml:space="preserve">The components of revenue receipts shows that the deviation of actual receipts over budget estimates for central transfers is </w:t>
      </w:r>
      <w:r w:rsidR="00520A0B">
        <w:rPr>
          <w:rFonts w:ascii="Times New Roman" w:hAnsi="Times New Roman"/>
          <w:sz w:val="24"/>
          <w:szCs w:val="24"/>
        </w:rPr>
        <w:t xml:space="preserve">the </w:t>
      </w:r>
      <w:r>
        <w:rPr>
          <w:rFonts w:ascii="Times New Roman" w:hAnsi="Times New Roman"/>
          <w:sz w:val="24"/>
          <w:szCs w:val="24"/>
        </w:rPr>
        <w:t xml:space="preserve">major reason for large shortfall in revenue receipts. </w:t>
      </w:r>
      <w:r w:rsidRPr="00BC7C58">
        <w:rPr>
          <w:rFonts w:ascii="Times New Roman" w:hAnsi="Times New Roman"/>
          <w:sz w:val="24"/>
          <w:szCs w:val="24"/>
        </w:rPr>
        <w:t>The aggregate central transfers fell short of the budget estimates by Rs.</w:t>
      </w:r>
      <w:r>
        <w:rPr>
          <w:rFonts w:ascii="Times New Roman" w:hAnsi="Times New Roman"/>
          <w:sz w:val="24"/>
          <w:szCs w:val="24"/>
        </w:rPr>
        <w:t>2295.22</w:t>
      </w:r>
      <w:r w:rsidRPr="00BC7C58">
        <w:rPr>
          <w:rFonts w:ascii="Times New Roman" w:hAnsi="Times New Roman"/>
          <w:sz w:val="24"/>
          <w:szCs w:val="24"/>
        </w:rPr>
        <w:t xml:space="preserve"> cores in 201</w:t>
      </w:r>
      <w:r>
        <w:rPr>
          <w:rFonts w:ascii="Times New Roman" w:hAnsi="Times New Roman"/>
          <w:sz w:val="24"/>
          <w:szCs w:val="24"/>
        </w:rPr>
        <w:t>9</w:t>
      </w:r>
      <w:r w:rsidRPr="00BC7C58">
        <w:rPr>
          <w:rFonts w:ascii="Times New Roman" w:hAnsi="Times New Roman"/>
          <w:sz w:val="24"/>
          <w:szCs w:val="24"/>
        </w:rPr>
        <w:t>-</w:t>
      </w:r>
      <w:r>
        <w:rPr>
          <w:rFonts w:ascii="Times New Roman" w:hAnsi="Times New Roman"/>
          <w:sz w:val="24"/>
          <w:szCs w:val="24"/>
        </w:rPr>
        <w:t>20</w:t>
      </w:r>
      <w:r w:rsidRPr="00BC7C58">
        <w:rPr>
          <w:rFonts w:ascii="Times New Roman" w:hAnsi="Times New Roman"/>
          <w:sz w:val="24"/>
          <w:szCs w:val="24"/>
        </w:rPr>
        <w:t xml:space="preserve">, which constituted </w:t>
      </w:r>
      <w:r>
        <w:rPr>
          <w:rFonts w:ascii="Times New Roman" w:hAnsi="Times New Roman"/>
          <w:sz w:val="24"/>
          <w:szCs w:val="24"/>
        </w:rPr>
        <w:t xml:space="preserve">41.94 percent </w:t>
      </w:r>
      <w:r w:rsidRPr="00BC7C58">
        <w:rPr>
          <w:rFonts w:ascii="Times New Roman" w:hAnsi="Times New Roman"/>
          <w:sz w:val="24"/>
          <w:szCs w:val="24"/>
        </w:rPr>
        <w:t xml:space="preserve">of budget estimates. Tax devolution to the </w:t>
      </w:r>
      <w:r w:rsidR="001D7E70">
        <w:rPr>
          <w:rFonts w:ascii="Times New Roman" w:hAnsi="Times New Roman"/>
          <w:sz w:val="24"/>
          <w:szCs w:val="24"/>
        </w:rPr>
        <w:t>s</w:t>
      </w:r>
      <w:r w:rsidRPr="00BC7C58">
        <w:rPr>
          <w:rFonts w:ascii="Times New Roman" w:hAnsi="Times New Roman"/>
          <w:sz w:val="24"/>
          <w:szCs w:val="24"/>
        </w:rPr>
        <w:t>tate fell short of budget estimates by Rs.</w:t>
      </w:r>
      <w:r w:rsidR="00E143CD">
        <w:rPr>
          <w:rFonts w:ascii="Times New Roman" w:hAnsi="Times New Roman"/>
          <w:sz w:val="24"/>
          <w:szCs w:val="24"/>
        </w:rPr>
        <w:t xml:space="preserve"> </w:t>
      </w:r>
      <w:r w:rsidR="001D7E70">
        <w:rPr>
          <w:rFonts w:ascii="Times New Roman" w:hAnsi="Times New Roman"/>
          <w:sz w:val="24"/>
          <w:szCs w:val="24"/>
        </w:rPr>
        <w:t>673.96</w:t>
      </w:r>
      <w:r w:rsidRPr="00BC7C58">
        <w:rPr>
          <w:rFonts w:ascii="Times New Roman" w:hAnsi="Times New Roman"/>
          <w:sz w:val="24"/>
          <w:szCs w:val="24"/>
        </w:rPr>
        <w:t xml:space="preserve"> crores or </w:t>
      </w:r>
      <w:r w:rsidR="001D7E70">
        <w:rPr>
          <w:rFonts w:ascii="Times New Roman" w:hAnsi="Times New Roman"/>
          <w:sz w:val="24"/>
          <w:szCs w:val="24"/>
        </w:rPr>
        <w:t>22.70</w:t>
      </w:r>
      <w:r w:rsidRPr="00BC7C58">
        <w:rPr>
          <w:rFonts w:ascii="Times New Roman" w:hAnsi="Times New Roman"/>
          <w:sz w:val="24"/>
          <w:szCs w:val="24"/>
        </w:rPr>
        <w:t xml:space="preserve"> percent of the budget estimates</w:t>
      </w:r>
      <w:r w:rsidR="00E143CD">
        <w:rPr>
          <w:rFonts w:ascii="Times New Roman" w:hAnsi="Times New Roman"/>
          <w:sz w:val="24"/>
          <w:szCs w:val="24"/>
        </w:rPr>
        <w:t>. The shortfall in grants from c</w:t>
      </w:r>
      <w:r w:rsidRPr="00BC7C58">
        <w:rPr>
          <w:rFonts w:ascii="Times New Roman" w:hAnsi="Times New Roman"/>
          <w:sz w:val="24"/>
          <w:szCs w:val="24"/>
        </w:rPr>
        <w:t xml:space="preserve">entre was </w:t>
      </w:r>
      <w:r w:rsidR="001D7E70">
        <w:rPr>
          <w:rFonts w:ascii="Times New Roman" w:hAnsi="Times New Roman"/>
          <w:sz w:val="24"/>
          <w:szCs w:val="24"/>
        </w:rPr>
        <w:t xml:space="preserve">even </w:t>
      </w:r>
      <w:r w:rsidRPr="00BC7C58">
        <w:rPr>
          <w:rFonts w:ascii="Times New Roman" w:hAnsi="Times New Roman"/>
          <w:sz w:val="24"/>
          <w:szCs w:val="24"/>
        </w:rPr>
        <w:t>larger. Taking all kind of grants, the actual receipt was less by Rs.</w:t>
      </w:r>
      <w:r w:rsidR="00E143CD">
        <w:rPr>
          <w:rFonts w:ascii="Times New Roman" w:hAnsi="Times New Roman"/>
          <w:sz w:val="24"/>
          <w:szCs w:val="24"/>
        </w:rPr>
        <w:t xml:space="preserve"> </w:t>
      </w:r>
      <w:r w:rsidR="001D7E70">
        <w:rPr>
          <w:rFonts w:ascii="Times New Roman" w:hAnsi="Times New Roman"/>
          <w:sz w:val="24"/>
          <w:szCs w:val="24"/>
        </w:rPr>
        <w:t>1621.26</w:t>
      </w:r>
      <w:r w:rsidRPr="00BC7C58">
        <w:rPr>
          <w:rFonts w:ascii="Times New Roman" w:hAnsi="Times New Roman"/>
          <w:sz w:val="24"/>
          <w:szCs w:val="24"/>
        </w:rPr>
        <w:t xml:space="preserve"> crore from the budget estimates, which forms about </w:t>
      </w:r>
      <w:r w:rsidR="001D7E70">
        <w:rPr>
          <w:rFonts w:ascii="Times New Roman" w:hAnsi="Times New Roman"/>
          <w:sz w:val="24"/>
          <w:szCs w:val="24"/>
        </w:rPr>
        <w:t>64.77</w:t>
      </w:r>
      <w:r w:rsidRPr="00BC7C58">
        <w:rPr>
          <w:rFonts w:ascii="Times New Roman" w:hAnsi="Times New Roman"/>
          <w:sz w:val="24"/>
          <w:szCs w:val="24"/>
        </w:rPr>
        <w:t xml:space="preserve"> percent of the budget estimates. The budget projection in the case of both tax devolution and grants has </w:t>
      </w:r>
      <w:r w:rsidR="001D7E70">
        <w:rPr>
          <w:rFonts w:ascii="Times New Roman" w:hAnsi="Times New Roman"/>
          <w:sz w:val="24"/>
          <w:szCs w:val="24"/>
        </w:rPr>
        <w:t xml:space="preserve">gone totally awry in 2019-20. </w:t>
      </w:r>
    </w:p>
    <w:p w:rsidR="00B35E70" w:rsidRDefault="00B35E70" w:rsidP="00BF5A52">
      <w:pPr>
        <w:spacing w:after="0" w:line="360" w:lineRule="auto"/>
        <w:jc w:val="both"/>
        <w:rPr>
          <w:rFonts w:ascii="Times New Roman" w:hAnsi="Times New Roman"/>
          <w:sz w:val="24"/>
          <w:szCs w:val="24"/>
        </w:rPr>
      </w:pPr>
    </w:p>
    <w:p w:rsidR="00C93BC5" w:rsidRDefault="001D7E70" w:rsidP="00BF5A52">
      <w:pPr>
        <w:spacing w:after="0" w:line="360" w:lineRule="auto"/>
        <w:jc w:val="both"/>
        <w:rPr>
          <w:rFonts w:ascii="Times New Roman" w:hAnsi="Times New Roman"/>
          <w:sz w:val="24"/>
          <w:szCs w:val="24"/>
        </w:rPr>
      </w:pPr>
      <w:r>
        <w:rPr>
          <w:rFonts w:ascii="Times New Roman" w:hAnsi="Times New Roman"/>
          <w:sz w:val="24"/>
          <w:szCs w:val="24"/>
        </w:rPr>
        <w:t>In addition to decline in central transfers over the budget estimates, the own revenue receipts also fell short of budget projections.</w:t>
      </w:r>
      <w:r w:rsidR="000B2B77">
        <w:rPr>
          <w:rFonts w:ascii="Times New Roman" w:hAnsi="Times New Roman"/>
          <w:sz w:val="24"/>
          <w:szCs w:val="24"/>
        </w:rPr>
        <w:t xml:space="preserve"> O</w:t>
      </w:r>
      <w:r w:rsidR="00C93BC5">
        <w:rPr>
          <w:rFonts w:ascii="Times New Roman" w:hAnsi="Times New Roman"/>
          <w:sz w:val="24"/>
          <w:szCs w:val="24"/>
        </w:rPr>
        <w:t xml:space="preserve">wn tax revenue outturn </w:t>
      </w:r>
      <w:r>
        <w:rPr>
          <w:rFonts w:ascii="Times New Roman" w:hAnsi="Times New Roman"/>
          <w:sz w:val="24"/>
          <w:szCs w:val="24"/>
        </w:rPr>
        <w:t xml:space="preserve">fell short of budget estimates </w:t>
      </w:r>
      <w:r w:rsidR="00C93BC5">
        <w:rPr>
          <w:rFonts w:ascii="Times New Roman" w:hAnsi="Times New Roman"/>
          <w:sz w:val="24"/>
          <w:szCs w:val="24"/>
        </w:rPr>
        <w:t xml:space="preserve">by </w:t>
      </w:r>
      <w:r w:rsidR="000B2B77">
        <w:rPr>
          <w:rFonts w:ascii="Times New Roman" w:hAnsi="Times New Roman"/>
          <w:sz w:val="24"/>
          <w:szCs w:val="24"/>
        </w:rPr>
        <w:t>Rs.</w:t>
      </w:r>
      <w:r w:rsidR="00E143CD">
        <w:rPr>
          <w:rFonts w:ascii="Times New Roman" w:hAnsi="Times New Roman"/>
          <w:sz w:val="24"/>
          <w:szCs w:val="24"/>
        </w:rPr>
        <w:t xml:space="preserve"> </w:t>
      </w:r>
      <w:r>
        <w:rPr>
          <w:rFonts w:ascii="Times New Roman" w:hAnsi="Times New Roman"/>
          <w:sz w:val="24"/>
          <w:szCs w:val="24"/>
        </w:rPr>
        <w:t>249.81</w:t>
      </w:r>
      <w:r w:rsidR="000B2B77">
        <w:rPr>
          <w:rFonts w:ascii="Times New Roman" w:hAnsi="Times New Roman"/>
          <w:sz w:val="24"/>
          <w:szCs w:val="24"/>
        </w:rPr>
        <w:t xml:space="preserve"> crores, which amounts to </w:t>
      </w:r>
      <w:r>
        <w:rPr>
          <w:rFonts w:ascii="Times New Roman" w:hAnsi="Times New Roman"/>
          <w:sz w:val="24"/>
          <w:szCs w:val="24"/>
        </w:rPr>
        <w:t>a deterioration of</w:t>
      </w:r>
      <w:r w:rsidR="00E143CD">
        <w:rPr>
          <w:rFonts w:ascii="Times New Roman" w:hAnsi="Times New Roman"/>
          <w:sz w:val="24"/>
          <w:szCs w:val="24"/>
        </w:rPr>
        <w:t xml:space="preserve"> </w:t>
      </w:r>
      <w:r>
        <w:rPr>
          <w:rFonts w:ascii="Times New Roman" w:hAnsi="Times New Roman"/>
          <w:sz w:val="24"/>
          <w:szCs w:val="24"/>
        </w:rPr>
        <w:t xml:space="preserve">20.47 </w:t>
      </w:r>
      <w:r w:rsidR="000B2B77">
        <w:rPr>
          <w:rFonts w:ascii="Times New Roman" w:hAnsi="Times New Roman"/>
          <w:sz w:val="24"/>
          <w:szCs w:val="24"/>
        </w:rPr>
        <w:t xml:space="preserve">percent over the budget estimates. </w:t>
      </w:r>
      <w:r>
        <w:rPr>
          <w:rFonts w:ascii="Times New Roman" w:hAnsi="Times New Roman"/>
          <w:sz w:val="24"/>
          <w:szCs w:val="24"/>
        </w:rPr>
        <w:t xml:space="preserve">Decline in non-tax revenue, however, was less at 11.14 crores, </w:t>
      </w:r>
      <w:r w:rsidR="000B2B77">
        <w:rPr>
          <w:rFonts w:ascii="Times New Roman" w:hAnsi="Times New Roman"/>
          <w:sz w:val="24"/>
          <w:szCs w:val="24"/>
        </w:rPr>
        <w:t xml:space="preserve">which amounts to </w:t>
      </w:r>
      <w:r>
        <w:rPr>
          <w:rFonts w:ascii="Times New Roman" w:hAnsi="Times New Roman"/>
          <w:sz w:val="24"/>
          <w:szCs w:val="24"/>
        </w:rPr>
        <w:t>1.58</w:t>
      </w:r>
      <w:r w:rsidR="000B2B77">
        <w:rPr>
          <w:rFonts w:ascii="Times New Roman" w:hAnsi="Times New Roman"/>
          <w:sz w:val="24"/>
          <w:szCs w:val="24"/>
        </w:rPr>
        <w:t xml:space="preserve"> percent </w:t>
      </w:r>
      <w:r>
        <w:rPr>
          <w:rFonts w:ascii="Times New Roman" w:hAnsi="Times New Roman"/>
          <w:sz w:val="24"/>
          <w:szCs w:val="24"/>
        </w:rPr>
        <w:t xml:space="preserve">of </w:t>
      </w:r>
      <w:r w:rsidR="000B2B77">
        <w:rPr>
          <w:rFonts w:ascii="Times New Roman" w:hAnsi="Times New Roman"/>
          <w:sz w:val="24"/>
          <w:szCs w:val="24"/>
        </w:rPr>
        <w:t xml:space="preserve">budget estimates. </w:t>
      </w:r>
      <w:r w:rsidR="00BB76A8">
        <w:rPr>
          <w:rFonts w:ascii="Times New Roman" w:hAnsi="Times New Roman"/>
          <w:sz w:val="24"/>
          <w:szCs w:val="24"/>
        </w:rPr>
        <w:t xml:space="preserve">Generating </w:t>
      </w:r>
      <w:r>
        <w:rPr>
          <w:rFonts w:ascii="Times New Roman" w:hAnsi="Times New Roman"/>
          <w:sz w:val="24"/>
          <w:szCs w:val="24"/>
        </w:rPr>
        <w:t xml:space="preserve">less </w:t>
      </w:r>
      <w:r w:rsidR="00BB76A8">
        <w:rPr>
          <w:rFonts w:ascii="Times New Roman" w:hAnsi="Times New Roman"/>
          <w:sz w:val="24"/>
          <w:szCs w:val="24"/>
        </w:rPr>
        <w:t xml:space="preserve">revenue as compared to the </w:t>
      </w:r>
      <w:r w:rsidR="00C93BC5">
        <w:rPr>
          <w:rFonts w:ascii="Times New Roman" w:hAnsi="Times New Roman"/>
          <w:sz w:val="24"/>
          <w:szCs w:val="24"/>
        </w:rPr>
        <w:t>budget target</w:t>
      </w:r>
      <w:r>
        <w:rPr>
          <w:rFonts w:ascii="Times New Roman" w:hAnsi="Times New Roman"/>
          <w:sz w:val="24"/>
          <w:szCs w:val="24"/>
        </w:rPr>
        <w:t xml:space="preserve">, when there was a massive fall in central transfers, further reduced the aggregate revenue receipts as compared to the budget estimates. </w:t>
      </w:r>
      <w:r w:rsidR="00C93BC5">
        <w:rPr>
          <w:rFonts w:ascii="Times New Roman" w:hAnsi="Times New Roman"/>
          <w:sz w:val="24"/>
          <w:szCs w:val="24"/>
        </w:rPr>
        <w:t xml:space="preserve"> </w:t>
      </w:r>
      <w:r w:rsidR="00F52848">
        <w:rPr>
          <w:rFonts w:ascii="Times New Roman" w:hAnsi="Times New Roman"/>
          <w:sz w:val="24"/>
          <w:szCs w:val="24"/>
        </w:rPr>
        <w:t>The GST outturn in 2019-20 exceeded the budget estimates by about 9.61 percent.</w:t>
      </w:r>
    </w:p>
    <w:p w:rsidR="00BF5A52" w:rsidRDefault="00BF5A52" w:rsidP="001260C7">
      <w:pPr>
        <w:spacing w:after="0" w:line="360" w:lineRule="auto"/>
        <w:jc w:val="both"/>
        <w:rPr>
          <w:rFonts w:ascii="Times New Roman" w:hAnsi="Times New Roman"/>
          <w:sz w:val="24"/>
          <w:szCs w:val="24"/>
        </w:rPr>
      </w:pPr>
    </w:p>
    <w:p w:rsidR="00254AA4" w:rsidRDefault="003B5E7D" w:rsidP="001260C7">
      <w:pPr>
        <w:spacing w:after="0" w:line="360" w:lineRule="auto"/>
        <w:jc w:val="both"/>
        <w:rPr>
          <w:rFonts w:ascii="Times New Roman" w:hAnsi="Times New Roman"/>
          <w:sz w:val="24"/>
          <w:szCs w:val="24"/>
        </w:rPr>
      </w:pPr>
      <w:r>
        <w:rPr>
          <w:rFonts w:ascii="Times New Roman" w:hAnsi="Times New Roman"/>
          <w:sz w:val="24"/>
          <w:szCs w:val="24"/>
        </w:rPr>
        <w:t xml:space="preserve">The </w:t>
      </w:r>
      <w:r w:rsidR="00740600">
        <w:rPr>
          <w:rFonts w:ascii="Times New Roman" w:hAnsi="Times New Roman"/>
          <w:sz w:val="24"/>
          <w:szCs w:val="24"/>
        </w:rPr>
        <w:t xml:space="preserve">aggregate </w:t>
      </w:r>
      <w:r>
        <w:rPr>
          <w:rFonts w:ascii="Times New Roman" w:hAnsi="Times New Roman"/>
          <w:sz w:val="24"/>
          <w:szCs w:val="24"/>
        </w:rPr>
        <w:t>spending outturns for the year 201</w:t>
      </w:r>
      <w:r w:rsidR="00AE4408">
        <w:rPr>
          <w:rFonts w:ascii="Times New Roman" w:hAnsi="Times New Roman"/>
          <w:sz w:val="24"/>
          <w:szCs w:val="24"/>
        </w:rPr>
        <w:t>9-20</w:t>
      </w:r>
      <w:r>
        <w:rPr>
          <w:rFonts w:ascii="Times New Roman" w:hAnsi="Times New Roman"/>
          <w:sz w:val="24"/>
          <w:szCs w:val="24"/>
        </w:rPr>
        <w:t xml:space="preserve"> shows that </w:t>
      </w:r>
      <w:r w:rsidR="00740600">
        <w:rPr>
          <w:rFonts w:ascii="Times New Roman" w:hAnsi="Times New Roman"/>
          <w:sz w:val="24"/>
          <w:szCs w:val="24"/>
        </w:rPr>
        <w:t>both revenue and capital expenditures</w:t>
      </w:r>
      <w:r w:rsidR="00AE4408">
        <w:rPr>
          <w:rFonts w:ascii="Times New Roman" w:hAnsi="Times New Roman"/>
          <w:sz w:val="24"/>
          <w:szCs w:val="24"/>
        </w:rPr>
        <w:t xml:space="preserve"> fell short of budget estimates, the latter witnessing a large decline</w:t>
      </w:r>
      <w:r w:rsidR="00740600">
        <w:rPr>
          <w:rFonts w:ascii="Times New Roman" w:hAnsi="Times New Roman"/>
          <w:sz w:val="24"/>
          <w:szCs w:val="24"/>
        </w:rPr>
        <w:t xml:space="preserve">. While revenue expenditure fell short of </w:t>
      </w:r>
      <w:r w:rsidR="00AE4408">
        <w:rPr>
          <w:rFonts w:ascii="Times New Roman" w:hAnsi="Times New Roman"/>
          <w:sz w:val="24"/>
          <w:szCs w:val="24"/>
        </w:rPr>
        <w:t>13.24</w:t>
      </w:r>
      <w:r w:rsidR="00740600">
        <w:rPr>
          <w:rFonts w:ascii="Times New Roman" w:hAnsi="Times New Roman"/>
          <w:sz w:val="24"/>
          <w:szCs w:val="24"/>
        </w:rPr>
        <w:t xml:space="preserve"> percent </w:t>
      </w:r>
      <w:r w:rsidR="005728E8">
        <w:rPr>
          <w:rFonts w:ascii="Times New Roman" w:hAnsi="Times New Roman"/>
          <w:sz w:val="24"/>
          <w:szCs w:val="24"/>
        </w:rPr>
        <w:t xml:space="preserve">over budget projections, capital outlay </w:t>
      </w:r>
      <w:r w:rsidR="00AE4408">
        <w:rPr>
          <w:rFonts w:ascii="Times New Roman" w:hAnsi="Times New Roman"/>
          <w:sz w:val="24"/>
          <w:szCs w:val="24"/>
        </w:rPr>
        <w:t xml:space="preserve">was reduced by a massive 34.24 percent over the </w:t>
      </w:r>
      <w:r w:rsidR="005728E8">
        <w:rPr>
          <w:rFonts w:ascii="Times New Roman" w:hAnsi="Times New Roman"/>
          <w:sz w:val="24"/>
          <w:szCs w:val="24"/>
        </w:rPr>
        <w:t>budget projections</w:t>
      </w:r>
      <w:r w:rsidR="00AE4408">
        <w:rPr>
          <w:rFonts w:ascii="Times New Roman" w:hAnsi="Times New Roman"/>
          <w:sz w:val="24"/>
          <w:szCs w:val="24"/>
        </w:rPr>
        <w:t xml:space="preserve">. </w:t>
      </w:r>
      <w:r w:rsidR="00254AA4">
        <w:rPr>
          <w:rFonts w:ascii="Times New Roman" w:hAnsi="Times New Roman"/>
          <w:sz w:val="24"/>
          <w:szCs w:val="24"/>
        </w:rPr>
        <w:t>The shortfall in revenue expenditure was Rs.</w:t>
      </w:r>
      <w:r w:rsidR="00E143CD">
        <w:rPr>
          <w:rFonts w:ascii="Times New Roman" w:hAnsi="Times New Roman"/>
          <w:sz w:val="24"/>
          <w:szCs w:val="24"/>
        </w:rPr>
        <w:t xml:space="preserve"> </w:t>
      </w:r>
      <w:r w:rsidR="00254AA4">
        <w:rPr>
          <w:rFonts w:ascii="Times New Roman" w:hAnsi="Times New Roman"/>
          <w:sz w:val="24"/>
          <w:szCs w:val="24"/>
        </w:rPr>
        <w:t>944.01 crores and in the case of capital outlay it was Rs.</w:t>
      </w:r>
      <w:r w:rsidR="00E143CD">
        <w:rPr>
          <w:rFonts w:ascii="Times New Roman" w:hAnsi="Times New Roman"/>
          <w:sz w:val="24"/>
          <w:szCs w:val="24"/>
        </w:rPr>
        <w:t xml:space="preserve"> </w:t>
      </w:r>
      <w:r w:rsidR="00254AA4">
        <w:rPr>
          <w:rFonts w:ascii="Times New Roman" w:hAnsi="Times New Roman"/>
          <w:sz w:val="24"/>
          <w:szCs w:val="24"/>
        </w:rPr>
        <w:t xml:space="preserve">383.97 crores. Restricting capital outlay reduced it to 2.27 percent of GSDP in 2019-20 as compared to 4.99 percent in 2018-19. </w:t>
      </w:r>
      <w:r w:rsidR="00254AA4">
        <w:rPr>
          <w:rFonts w:ascii="Times New Roman" w:hAnsi="Times New Roman"/>
          <w:sz w:val="24"/>
          <w:szCs w:val="24"/>
        </w:rPr>
        <w:lastRenderedPageBreak/>
        <w:t xml:space="preserve">The components of revenue expenditure – general services, social services and economic services reflect similar level of deviation as was witnessed at aggregate revenue expenditure level.   </w:t>
      </w:r>
    </w:p>
    <w:p w:rsidR="00254AA4" w:rsidRDefault="00254AA4" w:rsidP="001260C7">
      <w:pPr>
        <w:spacing w:after="0" w:line="360" w:lineRule="auto"/>
        <w:jc w:val="both"/>
        <w:rPr>
          <w:rFonts w:ascii="Times New Roman" w:hAnsi="Times New Roman"/>
          <w:sz w:val="24"/>
          <w:szCs w:val="24"/>
        </w:rPr>
      </w:pPr>
    </w:p>
    <w:p w:rsidR="00724CE8" w:rsidRDefault="00520A0B" w:rsidP="001260C7">
      <w:pPr>
        <w:spacing w:after="0" w:line="360" w:lineRule="auto"/>
        <w:jc w:val="both"/>
        <w:rPr>
          <w:rFonts w:ascii="Times New Roman" w:hAnsi="Times New Roman"/>
          <w:sz w:val="24"/>
          <w:szCs w:val="24"/>
        </w:rPr>
      </w:pPr>
      <w:r>
        <w:rPr>
          <w:rFonts w:ascii="Times New Roman" w:hAnsi="Times New Roman"/>
          <w:sz w:val="24"/>
          <w:szCs w:val="24"/>
        </w:rPr>
        <w:t xml:space="preserve">The </w:t>
      </w:r>
      <w:r w:rsidR="009E2E39">
        <w:rPr>
          <w:rFonts w:ascii="Times New Roman" w:hAnsi="Times New Roman"/>
          <w:sz w:val="24"/>
          <w:szCs w:val="24"/>
        </w:rPr>
        <w:t xml:space="preserve">Government planned to generate revenue surplus of </w:t>
      </w:r>
      <w:r w:rsidR="00F42112">
        <w:rPr>
          <w:rFonts w:ascii="Times New Roman" w:hAnsi="Times New Roman"/>
          <w:sz w:val="24"/>
          <w:szCs w:val="24"/>
        </w:rPr>
        <w:t>Rs.</w:t>
      </w:r>
      <w:r w:rsidR="00E143CD">
        <w:rPr>
          <w:rFonts w:ascii="Times New Roman" w:hAnsi="Times New Roman"/>
          <w:sz w:val="24"/>
          <w:szCs w:val="24"/>
        </w:rPr>
        <w:t xml:space="preserve"> </w:t>
      </w:r>
      <w:r w:rsidR="00880647">
        <w:rPr>
          <w:rFonts w:ascii="Times New Roman" w:hAnsi="Times New Roman"/>
          <w:sz w:val="24"/>
          <w:szCs w:val="24"/>
        </w:rPr>
        <w:t>268.35</w:t>
      </w:r>
      <w:r w:rsidR="00F42112">
        <w:rPr>
          <w:rFonts w:ascii="Times New Roman" w:hAnsi="Times New Roman"/>
          <w:sz w:val="24"/>
          <w:szCs w:val="24"/>
        </w:rPr>
        <w:t xml:space="preserve"> crores amounting to </w:t>
      </w:r>
      <w:r w:rsidR="00880647">
        <w:rPr>
          <w:rFonts w:ascii="Times New Roman" w:hAnsi="Times New Roman"/>
          <w:sz w:val="24"/>
          <w:szCs w:val="24"/>
        </w:rPr>
        <w:t xml:space="preserve">0.94 </w:t>
      </w:r>
      <w:r w:rsidR="009E2E39">
        <w:rPr>
          <w:rFonts w:ascii="Times New Roman" w:hAnsi="Times New Roman"/>
          <w:sz w:val="24"/>
          <w:szCs w:val="24"/>
        </w:rPr>
        <w:t>percent of GSDP</w:t>
      </w:r>
      <w:r>
        <w:rPr>
          <w:rFonts w:ascii="Times New Roman" w:hAnsi="Times New Roman"/>
          <w:sz w:val="24"/>
          <w:szCs w:val="24"/>
        </w:rPr>
        <w:t xml:space="preserve">. But </w:t>
      </w:r>
      <w:r w:rsidR="00880647">
        <w:rPr>
          <w:rFonts w:ascii="Times New Roman" w:hAnsi="Times New Roman"/>
          <w:sz w:val="24"/>
          <w:szCs w:val="24"/>
        </w:rPr>
        <w:t>the year ended with deficit of Rs.</w:t>
      </w:r>
      <w:r w:rsidR="00E143CD">
        <w:rPr>
          <w:rFonts w:ascii="Times New Roman" w:hAnsi="Times New Roman"/>
          <w:sz w:val="24"/>
          <w:szCs w:val="24"/>
        </w:rPr>
        <w:t xml:space="preserve"> </w:t>
      </w:r>
      <w:r w:rsidR="00880647">
        <w:rPr>
          <w:rFonts w:ascii="Times New Roman" w:hAnsi="Times New Roman"/>
          <w:sz w:val="24"/>
          <w:szCs w:val="24"/>
        </w:rPr>
        <w:t xml:space="preserve">1343.81 crores, which formed 4.14 percent of GSDP. </w:t>
      </w:r>
      <w:r w:rsidR="009E2E39">
        <w:rPr>
          <w:rFonts w:ascii="Times New Roman" w:hAnsi="Times New Roman"/>
          <w:sz w:val="24"/>
          <w:szCs w:val="24"/>
        </w:rPr>
        <w:t xml:space="preserve">While budget projected a fiscal deficit of </w:t>
      </w:r>
      <w:r w:rsidR="00880647">
        <w:rPr>
          <w:rFonts w:ascii="Times New Roman" w:hAnsi="Times New Roman"/>
          <w:sz w:val="24"/>
          <w:szCs w:val="24"/>
        </w:rPr>
        <w:t xml:space="preserve">Rs.852.99 crores amounting to </w:t>
      </w:r>
      <w:r w:rsidR="00724CE8">
        <w:rPr>
          <w:rFonts w:ascii="Times New Roman" w:hAnsi="Times New Roman"/>
          <w:sz w:val="24"/>
          <w:szCs w:val="24"/>
        </w:rPr>
        <w:t>3 percent of GSDP, the outrun was Rs.2081.18 crores, amounting to 6.4 percent of GSDP. As discussed earlier the government managed to finance the deficit utilizing cash investment in public accounts in addition to resorting to market borrowing</w:t>
      </w:r>
      <w:r w:rsidR="00566B6E">
        <w:rPr>
          <w:rFonts w:ascii="Times New Roman" w:hAnsi="Times New Roman"/>
          <w:sz w:val="24"/>
          <w:szCs w:val="24"/>
        </w:rPr>
        <w:t xml:space="preserve">. Thus, </w:t>
      </w:r>
      <w:r w:rsidR="00724CE8">
        <w:rPr>
          <w:rFonts w:ascii="Times New Roman" w:hAnsi="Times New Roman"/>
          <w:sz w:val="24"/>
          <w:szCs w:val="24"/>
        </w:rPr>
        <w:t xml:space="preserve">the impact of large fiscal deficit was limited on outstanding debt. </w:t>
      </w:r>
      <w:r w:rsidR="005076A6" w:rsidRPr="005076A6">
        <w:rPr>
          <w:rFonts w:ascii="Times New Roman" w:hAnsi="Times New Roman"/>
          <w:sz w:val="24"/>
          <w:szCs w:val="24"/>
        </w:rPr>
        <w:t>The debt stock</w:t>
      </w:r>
      <w:r w:rsidR="0039502C">
        <w:rPr>
          <w:rFonts w:ascii="Times New Roman" w:hAnsi="Times New Roman"/>
          <w:sz w:val="24"/>
          <w:szCs w:val="24"/>
        </w:rPr>
        <w:t xml:space="preserve"> in 201</w:t>
      </w:r>
      <w:r w:rsidR="00724CE8">
        <w:rPr>
          <w:rFonts w:ascii="Times New Roman" w:hAnsi="Times New Roman"/>
          <w:sz w:val="24"/>
          <w:szCs w:val="24"/>
        </w:rPr>
        <w:t xml:space="preserve">9-20 exceeded the budget estimates by 286.60 crores. </w:t>
      </w:r>
    </w:p>
    <w:p w:rsidR="00BF5A52" w:rsidRDefault="00640335" w:rsidP="00BF5A52">
      <w:pPr>
        <w:spacing w:after="0" w:line="360" w:lineRule="auto"/>
        <w:jc w:val="both"/>
        <w:rPr>
          <w:rFonts w:ascii="Times New Roman" w:hAnsi="Times New Roman"/>
        </w:rPr>
      </w:pPr>
      <w:r>
        <w:rPr>
          <w:rFonts w:ascii="Times New Roman" w:hAnsi="Times New Roman"/>
          <w:sz w:val="24"/>
          <w:szCs w:val="24"/>
        </w:rPr>
        <w:t xml:space="preserve">   </w:t>
      </w:r>
    </w:p>
    <w:p w:rsidR="00907F18" w:rsidRDefault="00613BFA" w:rsidP="00907F18">
      <w:pPr>
        <w:spacing w:after="0" w:line="360" w:lineRule="auto"/>
        <w:jc w:val="both"/>
        <w:rPr>
          <w:rFonts w:ascii="Times New Roman" w:hAnsi="Times New Roman"/>
          <w:sz w:val="24"/>
          <w:szCs w:val="24"/>
        </w:rPr>
      </w:pPr>
      <w:r>
        <w:rPr>
          <w:rFonts w:ascii="Times New Roman" w:hAnsi="Times New Roman"/>
          <w:sz w:val="24"/>
          <w:szCs w:val="24"/>
        </w:rPr>
        <w:t xml:space="preserve">The footprint of large decline in revenue receipts as compared to budget estimates is visible in </w:t>
      </w:r>
      <w:r w:rsidR="006A24EB">
        <w:rPr>
          <w:rFonts w:ascii="Times New Roman" w:hAnsi="Times New Roman"/>
          <w:sz w:val="24"/>
          <w:szCs w:val="24"/>
        </w:rPr>
        <w:t xml:space="preserve">spending plan of government taking both revenue and capital expenditure. Given uncertainties in flow of funds, the government needs to improve efficiency of budget management process to improve prioritization when faced with resource shortfall. </w:t>
      </w:r>
      <w:r w:rsidR="00907F18" w:rsidRPr="00C47DD0">
        <w:rPr>
          <w:rFonts w:ascii="Times New Roman" w:hAnsi="Times New Roman"/>
          <w:sz w:val="24"/>
          <w:szCs w:val="24"/>
        </w:rPr>
        <w:t xml:space="preserve">The inability to spend the available funds, non-receipt of the entire central funds as budgeted, and late receipts </w:t>
      </w:r>
      <w:r w:rsidR="00907F18">
        <w:rPr>
          <w:rFonts w:ascii="Times New Roman" w:hAnsi="Times New Roman"/>
          <w:sz w:val="24"/>
          <w:szCs w:val="24"/>
        </w:rPr>
        <w:t>c</w:t>
      </w:r>
      <w:r w:rsidR="00907F18" w:rsidRPr="00C47DD0">
        <w:rPr>
          <w:rFonts w:ascii="Times New Roman" w:hAnsi="Times New Roman"/>
          <w:sz w:val="24"/>
          <w:szCs w:val="24"/>
        </w:rPr>
        <w:t xml:space="preserve">entral funds in some CSS programs are the major reasons for this shortfall. Some of the budget heads under capital expenditure indicate that budget estimates were based on several </w:t>
      </w:r>
      <w:r w:rsidR="00907F18">
        <w:rPr>
          <w:rFonts w:ascii="Times New Roman" w:hAnsi="Times New Roman"/>
          <w:sz w:val="24"/>
          <w:szCs w:val="24"/>
        </w:rPr>
        <w:t>c</w:t>
      </w:r>
      <w:r w:rsidR="00907F18" w:rsidRPr="00C47DD0">
        <w:rPr>
          <w:rFonts w:ascii="Times New Roman" w:hAnsi="Times New Roman"/>
          <w:sz w:val="24"/>
          <w:szCs w:val="24"/>
        </w:rPr>
        <w:t xml:space="preserve">entral grants, NEC projects, and NLCPR components of DONER. Under many of these projects, funds were not received during the year for which the actual expenditure fell short of the budget estimates. The predictability of availability fund has remained low. </w:t>
      </w:r>
      <w:r w:rsidR="00907F18" w:rsidRPr="00530B22">
        <w:rPr>
          <w:rFonts w:ascii="Times New Roman" w:hAnsi="Times New Roman"/>
          <w:sz w:val="24"/>
          <w:szCs w:val="24"/>
        </w:rPr>
        <w:t xml:space="preserve">The deviation in capital expenditure is also closely related to non-receipt and delayed receipt of central grants resulting in large unspent amounts. The delay in implementing the projects in the infrastructure sector due to several inadequacies also stops the flow of funds. </w:t>
      </w:r>
      <w:r w:rsidR="00907F18" w:rsidRPr="00C47DD0">
        <w:rPr>
          <w:rFonts w:ascii="Times New Roman" w:hAnsi="Times New Roman"/>
          <w:sz w:val="24"/>
          <w:szCs w:val="24"/>
        </w:rPr>
        <w:t xml:space="preserve">  </w:t>
      </w:r>
    </w:p>
    <w:p w:rsidR="00C47DD0" w:rsidRDefault="00C47DD0" w:rsidP="006746A3">
      <w:pPr>
        <w:spacing w:after="0" w:line="360" w:lineRule="auto"/>
        <w:jc w:val="both"/>
        <w:rPr>
          <w:rFonts w:ascii="Times New Roman" w:hAnsi="Times New Roman"/>
          <w:sz w:val="24"/>
          <w:szCs w:val="24"/>
        </w:rPr>
      </w:pPr>
    </w:p>
    <w:p w:rsidR="00907F18" w:rsidRDefault="000715DD" w:rsidP="00907F18">
      <w:pPr>
        <w:spacing w:after="0" w:line="360" w:lineRule="auto"/>
        <w:jc w:val="both"/>
        <w:rPr>
          <w:rFonts w:ascii="Times New Roman" w:hAnsi="Times New Roman"/>
          <w:sz w:val="24"/>
          <w:szCs w:val="24"/>
        </w:rPr>
      </w:pPr>
      <w:r>
        <w:rPr>
          <w:rFonts w:ascii="Times New Roman" w:hAnsi="Times New Roman"/>
          <w:sz w:val="24"/>
          <w:szCs w:val="24"/>
        </w:rPr>
        <w:t>Uncertainties</w:t>
      </w:r>
      <w:r w:rsidR="00606EDA">
        <w:rPr>
          <w:rFonts w:ascii="Times New Roman" w:hAnsi="Times New Roman"/>
          <w:sz w:val="24"/>
          <w:szCs w:val="24"/>
        </w:rPr>
        <w:t xml:space="preserve"> created due to </w:t>
      </w:r>
      <w:r w:rsidR="00B86B4B">
        <w:rPr>
          <w:rFonts w:ascii="Times New Roman" w:hAnsi="Times New Roman"/>
          <w:sz w:val="24"/>
          <w:szCs w:val="24"/>
        </w:rPr>
        <w:t xml:space="preserve">non-receipt of </w:t>
      </w:r>
      <w:r w:rsidR="008470DF">
        <w:rPr>
          <w:rFonts w:ascii="Times New Roman" w:hAnsi="Times New Roman"/>
          <w:sz w:val="24"/>
          <w:szCs w:val="24"/>
        </w:rPr>
        <w:t>c</w:t>
      </w:r>
      <w:r w:rsidR="00B86B4B">
        <w:rPr>
          <w:rFonts w:ascii="Times New Roman" w:hAnsi="Times New Roman"/>
          <w:sz w:val="24"/>
          <w:szCs w:val="24"/>
        </w:rPr>
        <w:t>entral transfers and late receipt of funds, which could not be utilized during the year</w:t>
      </w:r>
      <w:r>
        <w:rPr>
          <w:rFonts w:ascii="Times New Roman" w:hAnsi="Times New Roman"/>
          <w:sz w:val="24"/>
          <w:szCs w:val="24"/>
        </w:rPr>
        <w:t>, is another that needs to be addressed for better utilization budgeted resources</w:t>
      </w:r>
      <w:r w:rsidR="00B86B4B">
        <w:rPr>
          <w:rFonts w:ascii="Times New Roman" w:hAnsi="Times New Roman"/>
          <w:sz w:val="24"/>
          <w:szCs w:val="24"/>
        </w:rPr>
        <w:t xml:space="preserve">. </w:t>
      </w:r>
      <w:r w:rsidR="00CF3B4C">
        <w:rPr>
          <w:rFonts w:ascii="Times New Roman" w:hAnsi="Times New Roman"/>
          <w:sz w:val="24"/>
          <w:szCs w:val="24"/>
        </w:rPr>
        <w:t xml:space="preserve">It becomes a challenge to utilize the resources, if large proportion of central transfers </w:t>
      </w:r>
      <w:r w:rsidR="00CF3B4C" w:rsidRPr="00872C0B">
        <w:rPr>
          <w:rFonts w:ascii="Times New Roman" w:hAnsi="Times New Roman"/>
          <w:sz w:val="24"/>
          <w:szCs w:val="24"/>
        </w:rPr>
        <w:t>received during the last quarter of the fiscal year</w:t>
      </w:r>
      <w:r w:rsidR="00CF3B4C">
        <w:rPr>
          <w:rFonts w:ascii="Times New Roman" w:hAnsi="Times New Roman"/>
          <w:sz w:val="24"/>
          <w:szCs w:val="24"/>
        </w:rPr>
        <w:t xml:space="preserve">. </w:t>
      </w:r>
      <w:r w:rsidR="00B20B42">
        <w:rPr>
          <w:rFonts w:ascii="Times New Roman" w:hAnsi="Times New Roman"/>
          <w:sz w:val="24"/>
          <w:szCs w:val="24"/>
        </w:rPr>
        <w:t>I</w:t>
      </w:r>
      <w:r w:rsidR="00B20B42" w:rsidRPr="00872C0B">
        <w:rPr>
          <w:rFonts w:ascii="Times New Roman" w:hAnsi="Times New Roman"/>
          <w:sz w:val="24"/>
          <w:szCs w:val="24"/>
        </w:rPr>
        <w:t>n 201</w:t>
      </w:r>
      <w:r w:rsidR="006A24EB">
        <w:rPr>
          <w:rFonts w:ascii="Times New Roman" w:hAnsi="Times New Roman"/>
          <w:sz w:val="24"/>
          <w:szCs w:val="24"/>
        </w:rPr>
        <w:t>9-20</w:t>
      </w:r>
      <w:r w:rsidR="00B20B42" w:rsidRPr="00872C0B">
        <w:rPr>
          <w:rFonts w:ascii="Times New Roman" w:hAnsi="Times New Roman"/>
          <w:sz w:val="24"/>
          <w:szCs w:val="24"/>
        </w:rPr>
        <w:t>,</w:t>
      </w:r>
      <w:r w:rsidR="00B20B42">
        <w:rPr>
          <w:rFonts w:ascii="Times New Roman" w:hAnsi="Times New Roman"/>
          <w:sz w:val="24"/>
          <w:szCs w:val="24"/>
        </w:rPr>
        <w:t xml:space="preserve"> the unspent amount remains high at Rs.</w:t>
      </w:r>
      <w:r w:rsidR="006A24EB">
        <w:rPr>
          <w:rFonts w:ascii="Times New Roman" w:hAnsi="Times New Roman"/>
          <w:sz w:val="24"/>
          <w:szCs w:val="24"/>
        </w:rPr>
        <w:t>517.91</w:t>
      </w:r>
      <w:r w:rsidR="00B20B42">
        <w:rPr>
          <w:rFonts w:ascii="Times New Roman" w:hAnsi="Times New Roman"/>
          <w:sz w:val="24"/>
          <w:szCs w:val="24"/>
        </w:rPr>
        <w:t xml:space="preserve"> crores. The receipt of central funds in the last quarter was </w:t>
      </w:r>
      <w:r w:rsidR="00907F18">
        <w:rPr>
          <w:rFonts w:ascii="Times New Roman" w:hAnsi="Times New Roman"/>
          <w:sz w:val="24"/>
          <w:szCs w:val="24"/>
        </w:rPr>
        <w:t>Rs.</w:t>
      </w:r>
      <w:r w:rsidR="006A24EB">
        <w:rPr>
          <w:rFonts w:ascii="Times New Roman" w:hAnsi="Times New Roman"/>
          <w:sz w:val="24"/>
          <w:szCs w:val="24"/>
        </w:rPr>
        <w:t>350.71</w:t>
      </w:r>
      <w:r w:rsidR="00907F18">
        <w:rPr>
          <w:rFonts w:ascii="Times New Roman" w:hAnsi="Times New Roman"/>
          <w:sz w:val="24"/>
          <w:szCs w:val="24"/>
        </w:rPr>
        <w:t xml:space="preserve"> crores</w:t>
      </w:r>
      <w:r w:rsidR="00B20B42">
        <w:rPr>
          <w:rFonts w:ascii="Times New Roman" w:hAnsi="Times New Roman"/>
          <w:sz w:val="24"/>
          <w:szCs w:val="24"/>
        </w:rPr>
        <w:t xml:space="preserve">, which forms </w:t>
      </w:r>
      <w:r w:rsidR="006A24EB">
        <w:rPr>
          <w:rFonts w:ascii="Times New Roman" w:hAnsi="Times New Roman"/>
          <w:sz w:val="24"/>
          <w:szCs w:val="24"/>
        </w:rPr>
        <w:t>about 38 percent</w:t>
      </w:r>
      <w:r w:rsidR="00B20B42">
        <w:rPr>
          <w:rFonts w:ascii="Times New Roman" w:hAnsi="Times New Roman"/>
          <w:sz w:val="24"/>
          <w:szCs w:val="24"/>
        </w:rPr>
        <w:t xml:space="preserve"> of total receipts </w:t>
      </w:r>
      <w:r w:rsidR="00B20B42" w:rsidRPr="007D453B">
        <w:rPr>
          <w:rFonts w:ascii="Times New Roman" w:hAnsi="Times New Roman"/>
          <w:sz w:val="24"/>
          <w:szCs w:val="24"/>
        </w:rPr>
        <w:t xml:space="preserve">(Table </w:t>
      </w:r>
      <w:r w:rsidR="007D453B" w:rsidRPr="007D453B">
        <w:rPr>
          <w:rFonts w:ascii="Times New Roman" w:hAnsi="Times New Roman"/>
          <w:sz w:val="24"/>
          <w:szCs w:val="24"/>
        </w:rPr>
        <w:t>4.</w:t>
      </w:r>
      <w:r w:rsidR="006A24EB">
        <w:rPr>
          <w:rFonts w:ascii="Times New Roman" w:hAnsi="Times New Roman"/>
          <w:sz w:val="24"/>
          <w:szCs w:val="24"/>
        </w:rPr>
        <w:t>4</w:t>
      </w:r>
      <w:r w:rsidR="00B20B42" w:rsidRPr="007D453B">
        <w:rPr>
          <w:rFonts w:ascii="Times New Roman" w:hAnsi="Times New Roman"/>
          <w:sz w:val="24"/>
          <w:szCs w:val="24"/>
        </w:rPr>
        <w:t xml:space="preserve">). </w:t>
      </w:r>
      <w:r w:rsidR="00907F18" w:rsidRPr="007D453B">
        <w:rPr>
          <w:rFonts w:ascii="Times New Roman" w:hAnsi="Times New Roman"/>
          <w:sz w:val="24"/>
          <w:szCs w:val="24"/>
        </w:rPr>
        <w:t>Although, the government usually includes the unspent amount in the spending plan for</w:t>
      </w:r>
      <w:r w:rsidR="00907F18">
        <w:rPr>
          <w:rFonts w:ascii="Times New Roman" w:hAnsi="Times New Roman"/>
          <w:sz w:val="24"/>
          <w:szCs w:val="24"/>
        </w:rPr>
        <w:t xml:space="preserve"> </w:t>
      </w:r>
      <w:r w:rsidR="00907F18" w:rsidRPr="00872C0B">
        <w:rPr>
          <w:rFonts w:ascii="Times New Roman" w:hAnsi="Times New Roman"/>
          <w:sz w:val="24"/>
          <w:szCs w:val="24"/>
        </w:rPr>
        <w:t xml:space="preserve">the following year </w:t>
      </w:r>
      <w:r w:rsidR="00907F18" w:rsidRPr="00872C0B">
        <w:rPr>
          <w:rFonts w:ascii="Times New Roman" w:hAnsi="Times New Roman"/>
          <w:sz w:val="24"/>
          <w:szCs w:val="24"/>
        </w:rPr>
        <w:lastRenderedPageBreak/>
        <w:t xml:space="preserve">on the projects conceived in the budget year, the spending plan of the budget </w:t>
      </w:r>
      <w:r w:rsidR="00907F18">
        <w:rPr>
          <w:rFonts w:ascii="Times New Roman" w:hAnsi="Times New Roman"/>
          <w:sz w:val="24"/>
          <w:szCs w:val="24"/>
        </w:rPr>
        <w:t xml:space="preserve">for the current year </w:t>
      </w:r>
      <w:r w:rsidR="00907F18" w:rsidRPr="00872C0B">
        <w:rPr>
          <w:rFonts w:ascii="Times New Roman" w:hAnsi="Times New Roman"/>
          <w:sz w:val="24"/>
          <w:szCs w:val="24"/>
        </w:rPr>
        <w:t>is not met.</w:t>
      </w:r>
      <w:r w:rsidR="00907F18">
        <w:rPr>
          <w:rFonts w:ascii="Times New Roman" w:hAnsi="Times New Roman"/>
          <w:sz w:val="24"/>
          <w:szCs w:val="24"/>
        </w:rPr>
        <w:t xml:space="preserve">    </w:t>
      </w:r>
    </w:p>
    <w:p w:rsidR="001412D8" w:rsidRDefault="001412D8" w:rsidP="00907F18">
      <w:pPr>
        <w:spacing w:after="0" w:line="360" w:lineRule="auto"/>
        <w:jc w:val="both"/>
        <w:rPr>
          <w:rFonts w:ascii="Times New Roman" w:hAnsi="Times New Roman"/>
          <w:sz w:val="24"/>
          <w:szCs w:val="24"/>
        </w:rPr>
      </w:pPr>
    </w:p>
    <w:p w:rsidR="00486D0F" w:rsidRDefault="00486D0F" w:rsidP="00F158F3">
      <w:pPr>
        <w:spacing w:after="0" w:line="360" w:lineRule="auto"/>
        <w:jc w:val="center"/>
        <w:rPr>
          <w:rFonts w:ascii="Times New Roman" w:hAnsi="Times New Roman"/>
          <w:b/>
        </w:rPr>
      </w:pPr>
      <w:r w:rsidRPr="009B0EA6">
        <w:rPr>
          <w:rFonts w:ascii="Times New Roman" w:hAnsi="Times New Roman"/>
          <w:b/>
        </w:rPr>
        <w:t xml:space="preserve">Table </w:t>
      </w:r>
      <w:r w:rsidR="006A24EB">
        <w:rPr>
          <w:rFonts w:ascii="Times New Roman" w:hAnsi="Times New Roman"/>
          <w:b/>
        </w:rPr>
        <w:t>4.4</w:t>
      </w:r>
      <w:r w:rsidR="00F158F3">
        <w:rPr>
          <w:rFonts w:ascii="Times New Roman" w:hAnsi="Times New Roman"/>
          <w:b/>
        </w:rPr>
        <w:t xml:space="preserve">: </w:t>
      </w:r>
      <w:r w:rsidRPr="009B0EA6">
        <w:rPr>
          <w:rFonts w:ascii="Times New Roman" w:hAnsi="Times New Roman"/>
          <w:b/>
        </w:rPr>
        <w:t xml:space="preserve">Central Funds Received </w:t>
      </w:r>
      <w:r w:rsidR="00F158F3">
        <w:rPr>
          <w:rFonts w:ascii="Times New Roman" w:hAnsi="Times New Roman"/>
          <w:b/>
        </w:rPr>
        <w:t>during End of the Fiscal Y</w:t>
      </w:r>
      <w:r w:rsidRPr="009B0EA6">
        <w:rPr>
          <w:rFonts w:ascii="Times New Roman" w:hAnsi="Times New Roman"/>
          <w:b/>
        </w:rPr>
        <w:t>ear and the Unspent Amount</w:t>
      </w:r>
    </w:p>
    <w:p w:rsidR="001412D8" w:rsidRPr="00F158F3" w:rsidRDefault="00F158F3" w:rsidP="001412D8">
      <w:pPr>
        <w:spacing w:after="0" w:line="240" w:lineRule="auto"/>
        <w:ind w:firstLine="720"/>
        <w:jc w:val="right"/>
        <w:rPr>
          <w:rFonts w:ascii="Times New Roman" w:hAnsi="Times New Roman"/>
          <w:b/>
          <w:i/>
        </w:rPr>
      </w:pPr>
      <w:r w:rsidRPr="00F158F3">
        <w:rPr>
          <w:rFonts w:ascii="Times New Roman" w:hAnsi="Times New Roman"/>
          <w:b/>
          <w:i/>
        </w:rPr>
        <w:t>(</w:t>
      </w:r>
      <w:r w:rsidR="001412D8" w:rsidRPr="00F158F3">
        <w:rPr>
          <w:rFonts w:ascii="Times New Roman" w:hAnsi="Times New Roman"/>
          <w:b/>
          <w:i/>
        </w:rPr>
        <w:t>Rs.</w:t>
      </w:r>
      <w:r w:rsidRPr="00F158F3">
        <w:rPr>
          <w:rFonts w:ascii="Times New Roman" w:hAnsi="Times New Roman"/>
          <w:b/>
          <w:i/>
        </w:rPr>
        <w:t xml:space="preserve"> in </w:t>
      </w:r>
      <w:r w:rsidR="001412D8" w:rsidRPr="00F158F3">
        <w:rPr>
          <w:rFonts w:ascii="Times New Roman" w:hAnsi="Times New Roman"/>
          <w:b/>
          <w:i/>
        </w:rPr>
        <w:t>Crore</w:t>
      </w:r>
      <w:r w:rsidRPr="00F158F3">
        <w:rPr>
          <w:rFonts w:ascii="Times New Roman" w:hAnsi="Times New Roman"/>
          <w:b/>
          <w:i/>
        </w:rPr>
        <w:t>)</w:t>
      </w:r>
    </w:p>
    <w:tbl>
      <w:tblPr>
        <w:tblStyle w:val="TableGrid11"/>
        <w:tblW w:w="5000" w:type="pct"/>
        <w:tblLook w:val="04A0" w:firstRow="1" w:lastRow="0" w:firstColumn="1" w:lastColumn="0" w:noHBand="0" w:noVBand="1"/>
      </w:tblPr>
      <w:tblGrid>
        <w:gridCol w:w="2211"/>
        <w:gridCol w:w="1895"/>
        <w:gridCol w:w="1560"/>
        <w:gridCol w:w="1700"/>
        <w:gridCol w:w="1650"/>
      </w:tblGrid>
      <w:tr w:rsidR="00486D0F" w:rsidRPr="00FD7698" w:rsidTr="00F158F3">
        <w:trPr>
          <w:trHeight w:val="692"/>
        </w:trPr>
        <w:tc>
          <w:tcPr>
            <w:tcW w:w="1226" w:type="pct"/>
            <w:noWrap/>
            <w:vAlign w:val="bottom"/>
            <w:hideMark/>
          </w:tcPr>
          <w:p w:rsidR="00486D0F" w:rsidRPr="00FD7698" w:rsidRDefault="00486D0F" w:rsidP="00F158F3">
            <w:pPr>
              <w:jc w:val="center"/>
              <w:rPr>
                <w:rFonts w:ascii="Times New Roman" w:hAnsi="Times New Roman"/>
                <w:b/>
                <w:sz w:val="20"/>
                <w:szCs w:val="20"/>
              </w:rPr>
            </w:pPr>
            <w:r w:rsidRPr="00FD7698">
              <w:rPr>
                <w:rFonts w:ascii="Times New Roman" w:hAnsi="Times New Roman"/>
                <w:b/>
                <w:sz w:val="20"/>
                <w:szCs w:val="20"/>
              </w:rPr>
              <w:t>Scheme Name</w:t>
            </w:r>
          </w:p>
        </w:tc>
        <w:tc>
          <w:tcPr>
            <w:tcW w:w="1051" w:type="pct"/>
            <w:noWrap/>
            <w:vAlign w:val="bottom"/>
            <w:hideMark/>
          </w:tcPr>
          <w:p w:rsidR="00486D0F" w:rsidRPr="00FD7698" w:rsidRDefault="00486D0F" w:rsidP="00F158F3">
            <w:pPr>
              <w:jc w:val="center"/>
              <w:rPr>
                <w:rFonts w:ascii="Times New Roman" w:hAnsi="Times New Roman"/>
                <w:b/>
                <w:sz w:val="20"/>
                <w:szCs w:val="20"/>
              </w:rPr>
            </w:pPr>
            <w:r w:rsidRPr="00FD7698">
              <w:rPr>
                <w:rFonts w:ascii="Times New Roman" w:hAnsi="Times New Roman"/>
                <w:b/>
                <w:sz w:val="20"/>
                <w:szCs w:val="20"/>
              </w:rPr>
              <w:t>Total Receipts</w:t>
            </w:r>
          </w:p>
        </w:tc>
        <w:tc>
          <w:tcPr>
            <w:tcW w:w="865" w:type="pct"/>
            <w:vAlign w:val="bottom"/>
            <w:hideMark/>
          </w:tcPr>
          <w:p w:rsidR="00486D0F" w:rsidRPr="00FD7698" w:rsidRDefault="00486D0F" w:rsidP="00F158F3">
            <w:pPr>
              <w:jc w:val="center"/>
              <w:rPr>
                <w:rFonts w:ascii="Times New Roman" w:hAnsi="Times New Roman"/>
                <w:b/>
                <w:sz w:val="20"/>
                <w:szCs w:val="20"/>
              </w:rPr>
            </w:pPr>
            <w:r w:rsidRPr="00FD7698">
              <w:rPr>
                <w:rFonts w:ascii="Times New Roman" w:hAnsi="Times New Roman"/>
                <w:b/>
                <w:sz w:val="20"/>
                <w:szCs w:val="20"/>
              </w:rPr>
              <w:t>Receipts in March</w:t>
            </w:r>
          </w:p>
        </w:tc>
        <w:tc>
          <w:tcPr>
            <w:tcW w:w="943" w:type="pct"/>
            <w:vAlign w:val="bottom"/>
            <w:hideMark/>
          </w:tcPr>
          <w:p w:rsidR="00486D0F" w:rsidRPr="00FD7698" w:rsidRDefault="00486D0F" w:rsidP="00F158F3">
            <w:pPr>
              <w:jc w:val="center"/>
              <w:rPr>
                <w:rFonts w:ascii="Times New Roman" w:hAnsi="Times New Roman"/>
                <w:b/>
                <w:sz w:val="20"/>
                <w:szCs w:val="20"/>
              </w:rPr>
            </w:pPr>
            <w:r w:rsidRPr="00FD7698">
              <w:rPr>
                <w:rFonts w:ascii="Times New Roman" w:hAnsi="Times New Roman"/>
                <w:b/>
                <w:sz w:val="20"/>
                <w:szCs w:val="20"/>
              </w:rPr>
              <w:t>Receipts during Jan</w:t>
            </w:r>
            <w:r w:rsidR="00FB5253">
              <w:rPr>
                <w:rFonts w:ascii="Times New Roman" w:hAnsi="Times New Roman"/>
                <w:b/>
                <w:sz w:val="20"/>
                <w:szCs w:val="20"/>
              </w:rPr>
              <w:t>uary</w:t>
            </w:r>
            <w:r w:rsidRPr="00FD7698">
              <w:rPr>
                <w:rFonts w:ascii="Times New Roman" w:hAnsi="Times New Roman"/>
                <w:b/>
                <w:sz w:val="20"/>
                <w:szCs w:val="20"/>
              </w:rPr>
              <w:t xml:space="preserve"> to March</w:t>
            </w:r>
          </w:p>
        </w:tc>
        <w:tc>
          <w:tcPr>
            <w:tcW w:w="915" w:type="pct"/>
            <w:vAlign w:val="bottom"/>
            <w:hideMark/>
          </w:tcPr>
          <w:p w:rsidR="00486D0F" w:rsidRPr="00FD7698" w:rsidRDefault="00486D0F" w:rsidP="00F158F3">
            <w:pPr>
              <w:jc w:val="center"/>
              <w:rPr>
                <w:rFonts w:ascii="Times New Roman" w:hAnsi="Times New Roman"/>
                <w:b/>
                <w:sz w:val="20"/>
                <w:szCs w:val="20"/>
              </w:rPr>
            </w:pPr>
            <w:r w:rsidRPr="00FD7698">
              <w:rPr>
                <w:rFonts w:ascii="Times New Roman" w:hAnsi="Times New Roman"/>
                <w:b/>
                <w:sz w:val="20"/>
                <w:szCs w:val="20"/>
              </w:rPr>
              <w:t>Unspent Balances</w:t>
            </w:r>
          </w:p>
        </w:tc>
      </w:tr>
      <w:tr w:rsidR="00486D0F" w:rsidRPr="00FD7698" w:rsidTr="00F158F3">
        <w:trPr>
          <w:trHeight w:val="315"/>
        </w:trPr>
        <w:tc>
          <w:tcPr>
            <w:tcW w:w="5000" w:type="pct"/>
            <w:gridSpan w:val="5"/>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2014-15</w:t>
            </w:r>
          </w:p>
        </w:tc>
      </w:tr>
      <w:tr w:rsidR="00486D0F" w:rsidRPr="00FD7698" w:rsidTr="00F158F3">
        <w:trPr>
          <w:trHeight w:val="315"/>
        </w:trPr>
        <w:tc>
          <w:tcPr>
            <w:tcW w:w="1226" w:type="pct"/>
            <w:noWrap/>
            <w:vAlign w:val="bottom"/>
          </w:tcPr>
          <w:p w:rsidR="00486D0F" w:rsidRPr="00FD7698" w:rsidRDefault="00486D0F" w:rsidP="00F158F3">
            <w:pPr>
              <w:jc w:val="center"/>
              <w:rPr>
                <w:rFonts w:ascii="Times New Roman" w:hAnsi="Times New Roman"/>
                <w:sz w:val="20"/>
                <w:szCs w:val="20"/>
              </w:rPr>
            </w:pPr>
            <w:r w:rsidRPr="00FD7698">
              <w:rPr>
                <w:rFonts w:ascii="Times New Roman" w:hAnsi="Times New Roman"/>
                <w:sz w:val="20"/>
                <w:szCs w:val="20"/>
              </w:rPr>
              <w:t>Plan Central Sector</w:t>
            </w:r>
          </w:p>
        </w:tc>
        <w:tc>
          <w:tcPr>
            <w:tcW w:w="1051"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1100.03</w:t>
            </w:r>
          </w:p>
        </w:tc>
        <w:tc>
          <w:tcPr>
            <w:tcW w:w="865"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106.61</w:t>
            </w:r>
          </w:p>
        </w:tc>
        <w:tc>
          <w:tcPr>
            <w:tcW w:w="943"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422.08</w:t>
            </w:r>
          </w:p>
        </w:tc>
        <w:tc>
          <w:tcPr>
            <w:tcW w:w="915"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328.65</w:t>
            </w:r>
          </w:p>
        </w:tc>
      </w:tr>
      <w:tr w:rsidR="00486D0F" w:rsidRPr="00FD7698" w:rsidTr="00F158F3">
        <w:trPr>
          <w:trHeight w:val="315"/>
        </w:trPr>
        <w:tc>
          <w:tcPr>
            <w:tcW w:w="1226" w:type="pct"/>
            <w:noWrap/>
            <w:vAlign w:val="bottom"/>
          </w:tcPr>
          <w:p w:rsidR="00486D0F" w:rsidRPr="00FD7698" w:rsidRDefault="00486D0F" w:rsidP="00F158F3">
            <w:pPr>
              <w:jc w:val="center"/>
              <w:rPr>
                <w:rFonts w:ascii="Times New Roman" w:hAnsi="Times New Roman"/>
                <w:sz w:val="20"/>
                <w:szCs w:val="20"/>
              </w:rPr>
            </w:pPr>
            <w:r w:rsidRPr="00FD7698">
              <w:rPr>
                <w:rFonts w:ascii="Times New Roman" w:hAnsi="Times New Roman"/>
                <w:sz w:val="20"/>
                <w:szCs w:val="20"/>
              </w:rPr>
              <w:t>CSS</w:t>
            </w:r>
          </w:p>
        </w:tc>
        <w:tc>
          <w:tcPr>
            <w:tcW w:w="1051"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572.23</w:t>
            </w:r>
          </w:p>
        </w:tc>
        <w:tc>
          <w:tcPr>
            <w:tcW w:w="865"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46.90</w:t>
            </w:r>
          </w:p>
        </w:tc>
        <w:tc>
          <w:tcPr>
            <w:tcW w:w="943"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164.35</w:t>
            </w:r>
          </w:p>
        </w:tc>
        <w:tc>
          <w:tcPr>
            <w:tcW w:w="915" w:type="pct"/>
            <w:noWrap/>
            <w:vAlign w:val="bottom"/>
          </w:tcPr>
          <w:p w:rsidR="00486D0F" w:rsidRPr="00FD7698" w:rsidRDefault="00486D0F" w:rsidP="00F158F3">
            <w:pPr>
              <w:jc w:val="center"/>
              <w:rPr>
                <w:rFonts w:ascii="Times New Roman" w:hAnsi="Times New Roman"/>
                <w:bCs/>
                <w:iCs/>
                <w:sz w:val="20"/>
                <w:szCs w:val="20"/>
              </w:rPr>
            </w:pPr>
            <w:r w:rsidRPr="00FD7698">
              <w:rPr>
                <w:rFonts w:ascii="Times New Roman" w:hAnsi="Times New Roman"/>
                <w:bCs/>
                <w:iCs/>
                <w:sz w:val="20"/>
                <w:szCs w:val="20"/>
              </w:rPr>
              <w:t>187.41</w:t>
            </w:r>
          </w:p>
        </w:tc>
      </w:tr>
      <w:tr w:rsidR="00486D0F" w:rsidRPr="00FD7698" w:rsidTr="00F158F3">
        <w:trPr>
          <w:trHeight w:val="315"/>
        </w:trPr>
        <w:tc>
          <w:tcPr>
            <w:tcW w:w="1226" w:type="pct"/>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Total</w:t>
            </w:r>
          </w:p>
        </w:tc>
        <w:tc>
          <w:tcPr>
            <w:tcW w:w="1051" w:type="pct"/>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1672.26</w:t>
            </w:r>
          </w:p>
        </w:tc>
        <w:tc>
          <w:tcPr>
            <w:tcW w:w="865" w:type="pct"/>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153.51</w:t>
            </w:r>
          </w:p>
        </w:tc>
        <w:tc>
          <w:tcPr>
            <w:tcW w:w="943" w:type="pct"/>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586.43</w:t>
            </w:r>
          </w:p>
        </w:tc>
        <w:tc>
          <w:tcPr>
            <w:tcW w:w="915" w:type="pct"/>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516.06</w:t>
            </w:r>
          </w:p>
        </w:tc>
      </w:tr>
      <w:tr w:rsidR="00486D0F" w:rsidRPr="00FD7698" w:rsidTr="00F158F3">
        <w:trPr>
          <w:trHeight w:val="315"/>
        </w:trPr>
        <w:tc>
          <w:tcPr>
            <w:tcW w:w="5000" w:type="pct"/>
            <w:gridSpan w:val="5"/>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2015-16</w:t>
            </w:r>
          </w:p>
        </w:tc>
      </w:tr>
      <w:tr w:rsidR="00486D0F" w:rsidRPr="00FD7698" w:rsidTr="00F158F3">
        <w:trPr>
          <w:trHeight w:val="315"/>
        </w:trPr>
        <w:tc>
          <w:tcPr>
            <w:tcW w:w="1226" w:type="pct"/>
            <w:noWrap/>
            <w:vAlign w:val="bottom"/>
          </w:tcPr>
          <w:p w:rsidR="00486D0F" w:rsidRPr="00FD7698" w:rsidRDefault="00486D0F" w:rsidP="00F158F3">
            <w:pPr>
              <w:jc w:val="center"/>
              <w:rPr>
                <w:rFonts w:ascii="Times New Roman" w:hAnsi="Times New Roman"/>
                <w:sz w:val="20"/>
                <w:szCs w:val="20"/>
              </w:rPr>
            </w:pPr>
            <w:r w:rsidRPr="00FD7698">
              <w:rPr>
                <w:rFonts w:ascii="Times New Roman" w:hAnsi="Times New Roman"/>
                <w:sz w:val="20"/>
                <w:szCs w:val="20"/>
              </w:rPr>
              <w:t>Plan Central Sector</w:t>
            </w:r>
          </w:p>
        </w:tc>
        <w:tc>
          <w:tcPr>
            <w:tcW w:w="1051"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314.81</w:t>
            </w:r>
          </w:p>
        </w:tc>
        <w:tc>
          <w:tcPr>
            <w:tcW w:w="865"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6.49</w:t>
            </w:r>
          </w:p>
        </w:tc>
        <w:tc>
          <w:tcPr>
            <w:tcW w:w="943"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140.51</w:t>
            </w:r>
          </w:p>
        </w:tc>
        <w:tc>
          <w:tcPr>
            <w:tcW w:w="915"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158.74</w:t>
            </w:r>
          </w:p>
        </w:tc>
      </w:tr>
      <w:tr w:rsidR="00486D0F" w:rsidRPr="00FD7698" w:rsidTr="00F158F3">
        <w:trPr>
          <w:trHeight w:val="315"/>
        </w:trPr>
        <w:tc>
          <w:tcPr>
            <w:tcW w:w="1226" w:type="pct"/>
            <w:noWrap/>
            <w:vAlign w:val="bottom"/>
          </w:tcPr>
          <w:p w:rsidR="00486D0F" w:rsidRPr="00FD7698" w:rsidRDefault="00486D0F" w:rsidP="00F158F3">
            <w:pPr>
              <w:jc w:val="center"/>
              <w:rPr>
                <w:rFonts w:ascii="Times New Roman" w:hAnsi="Times New Roman"/>
                <w:sz w:val="20"/>
                <w:szCs w:val="20"/>
              </w:rPr>
            </w:pPr>
            <w:r w:rsidRPr="00FD7698">
              <w:rPr>
                <w:rFonts w:ascii="Times New Roman" w:hAnsi="Times New Roman"/>
                <w:sz w:val="20"/>
                <w:szCs w:val="20"/>
              </w:rPr>
              <w:t>CSS</w:t>
            </w:r>
          </w:p>
        </w:tc>
        <w:tc>
          <w:tcPr>
            <w:tcW w:w="1051"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536.14</w:t>
            </w:r>
          </w:p>
        </w:tc>
        <w:tc>
          <w:tcPr>
            <w:tcW w:w="865"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72.87</w:t>
            </w:r>
          </w:p>
        </w:tc>
        <w:tc>
          <w:tcPr>
            <w:tcW w:w="943"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150.58</w:t>
            </w:r>
          </w:p>
        </w:tc>
        <w:tc>
          <w:tcPr>
            <w:tcW w:w="915" w:type="pct"/>
            <w:noWrap/>
            <w:vAlign w:val="bottom"/>
          </w:tcPr>
          <w:p w:rsidR="00486D0F" w:rsidRPr="00FD7698" w:rsidRDefault="00D7387A" w:rsidP="00F158F3">
            <w:pPr>
              <w:jc w:val="center"/>
              <w:rPr>
                <w:rFonts w:ascii="Times New Roman" w:hAnsi="Times New Roman"/>
                <w:bCs/>
                <w:iCs/>
                <w:sz w:val="20"/>
                <w:szCs w:val="20"/>
              </w:rPr>
            </w:pPr>
            <w:r w:rsidRPr="00FD7698">
              <w:rPr>
                <w:rFonts w:ascii="Times New Roman" w:hAnsi="Times New Roman"/>
                <w:bCs/>
                <w:iCs/>
                <w:sz w:val="20"/>
                <w:szCs w:val="20"/>
              </w:rPr>
              <w:t>47.67</w:t>
            </w:r>
          </w:p>
        </w:tc>
      </w:tr>
      <w:tr w:rsidR="00486D0F" w:rsidRPr="00FD7698" w:rsidTr="00F158F3">
        <w:trPr>
          <w:trHeight w:val="315"/>
        </w:trPr>
        <w:tc>
          <w:tcPr>
            <w:tcW w:w="1226" w:type="pct"/>
            <w:noWrap/>
            <w:vAlign w:val="bottom"/>
          </w:tcPr>
          <w:p w:rsidR="00486D0F" w:rsidRPr="00FD7698" w:rsidRDefault="00486D0F" w:rsidP="00F158F3">
            <w:pPr>
              <w:jc w:val="center"/>
              <w:rPr>
                <w:rFonts w:ascii="Times New Roman" w:hAnsi="Times New Roman"/>
                <w:b/>
                <w:bCs/>
                <w:iCs/>
                <w:sz w:val="20"/>
                <w:szCs w:val="20"/>
              </w:rPr>
            </w:pPr>
            <w:r w:rsidRPr="00FD7698">
              <w:rPr>
                <w:rFonts w:ascii="Times New Roman" w:hAnsi="Times New Roman"/>
                <w:b/>
                <w:bCs/>
                <w:iCs/>
                <w:sz w:val="20"/>
                <w:szCs w:val="20"/>
              </w:rPr>
              <w:t>Total</w:t>
            </w:r>
          </w:p>
        </w:tc>
        <w:tc>
          <w:tcPr>
            <w:tcW w:w="1051" w:type="pct"/>
            <w:noWrap/>
            <w:vAlign w:val="bottom"/>
          </w:tcPr>
          <w:p w:rsidR="00486D0F" w:rsidRPr="00FD7698" w:rsidRDefault="00D7387A" w:rsidP="00F158F3">
            <w:pPr>
              <w:jc w:val="center"/>
              <w:rPr>
                <w:rFonts w:ascii="Times New Roman" w:hAnsi="Times New Roman"/>
                <w:b/>
                <w:bCs/>
                <w:iCs/>
                <w:sz w:val="20"/>
                <w:szCs w:val="20"/>
              </w:rPr>
            </w:pPr>
            <w:r w:rsidRPr="00FD7698">
              <w:rPr>
                <w:rFonts w:ascii="Times New Roman" w:hAnsi="Times New Roman"/>
                <w:b/>
                <w:bCs/>
                <w:iCs/>
                <w:sz w:val="20"/>
                <w:szCs w:val="20"/>
              </w:rPr>
              <w:t>850.95</w:t>
            </w:r>
          </w:p>
        </w:tc>
        <w:tc>
          <w:tcPr>
            <w:tcW w:w="865" w:type="pct"/>
            <w:noWrap/>
            <w:vAlign w:val="bottom"/>
          </w:tcPr>
          <w:p w:rsidR="00486D0F" w:rsidRPr="00FD7698" w:rsidRDefault="00D7387A" w:rsidP="00F158F3">
            <w:pPr>
              <w:jc w:val="center"/>
              <w:rPr>
                <w:rFonts w:ascii="Times New Roman" w:hAnsi="Times New Roman"/>
                <w:b/>
                <w:bCs/>
                <w:iCs/>
                <w:sz w:val="20"/>
                <w:szCs w:val="20"/>
              </w:rPr>
            </w:pPr>
            <w:r w:rsidRPr="00FD7698">
              <w:rPr>
                <w:rFonts w:ascii="Times New Roman" w:hAnsi="Times New Roman"/>
                <w:b/>
                <w:bCs/>
                <w:iCs/>
                <w:sz w:val="20"/>
                <w:szCs w:val="20"/>
              </w:rPr>
              <w:t>79.36</w:t>
            </w:r>
          </w:p>
        </w:tc>
        <w:tc>
          <w:tcPr>
            <w:tcW w:w="943" w:type="pct"/>
            <w:noWrap/>
            <w:vAlign w:val="bottom"/>
          </w:tcPr>
          <w:p w:rsidR="00486D0F" w:rsidRPr="00FD7698" w:rsidRDefault="00D7387A" w:rsidP="00F158F3">
            <w:pPr>
              <w:jc w:val="center"/>
              <w:rPr>
                <w:rFonts w:ascii="Times New Roman" w:hAnsi="Times New Roman"/>
                <w:b/>
                <w:bCs/>
                <w:iCs/>
                <w:sz w:val="20"/>
                <w:szCs w:val="20"/>
              </w:rPr>
            </w:pPr>
            <w:r w:rsidRPr="00FD7698">
              <w:rPr>
                <w:rFonts w:ascii="Times New Roman" w:hAnsi="Times New Roman"/>
                <w:b/>
                <w:bCs/>
                <w:iCs/>
                <w:sz w:val="20"/>
                <w:szCs w:val="20"/>
              </w:rPr>
              <w:t>291.09</w:t>
            </w:r>
          </w:p>
        </w:tc>
        <w:tc>
          <w:tcPr>
            <w:tcW w:w="915" w:type="pct"/>
            <w:noWrap/>
            <w:vAlign w:val="bottom"/>
          </w:tcPr>
          <w:p w:rsidR="00486D0F" w:rsidRPr="00FD7698" w:rsidRDefault="00D7387A" w:rsidP="00F158F3">
            <w:pPr>
              <w:jc w:val="center"/>
              <w:rPr>
                <w:rFonts w:ascii="Times New Roman" w:hAnsi="Times New Roman"/>
                <w:b/>
                <w:bCs/>
                <w:iCs/>
                <w:sz w:val="20"/>
                <w:szCs w:val="20"/>
              </w:rPr>
            </w:pPr>
            <w:r w:rsidRPr="00FD7698">
              <w:rPr>
                <w:rFonts w:ascii="Times New Roman" w:hAnsi="Times New Roman"/>
                <w:b/>
                <w:bCs/>
                <w:iCs/>
                <w:sz w:val="20"/>
                <w:szCs w:val="20"/>
              </w:rPr>
              <w:t>206.41</w:t>
            </w:r>
          </w:p>
        </w:tc>
      </w:tr>
      <w:tr w:rsidR="00FD7698" w:rsidRPr="00FD7698" w:rsidTr="00F158F3">
        <w:trPr>
          <w:trHeight w:val="315"/>
        </w:trPr>
        <w:tc>
          <w:tcPr>
            <w:tcW w:w="5000" w:type="pct"/>
            <w:gridSpan w:val="5"/>
            <w:noWrap/>
            <w:vAlign w:val="bottom"/>
          </w:tcPr>
          <w:p w:rsidR="00FD7698" w:rsidRPr="00FD7698" w:rsidRDefault="00FD7698" w:rsidP="00F158F3">
            <w:pPr>
              <w:jc w:val="center"/>
              <w:rPr>
                <w:rFonts w:ascii="Times New Roman" w:hAnsi="Times New Roman"/>
                <w:b/>
                <w:bCs/>
                <w:iCs/>
                <w:sz w:val="20"/>
                <w:szCs w:val="20"/>
              </w:rPr>
            </w:pPr>
            <w:r w:rsidRPr="00FD7698">
              <w:rPr>
                <w:rFonts w:ascii="Times New Roman" w:hAnsi="Times New Roman"/>
                <w:b/>
                <w:bCs/>
                <w:iCs/>
                <w:sz w:val="20"/>
                <w:szCs w:val="20"/>
              </w:rPr>
              <w:t>2016-17</w:t>
            </w:r>
          </w:p>
        </w:tc>
      </w:tr>
      <w:tr w:rsidR="00FD7698" w:rsidRPr="00FD7698" w:rsidTr="00F158F3">
        <w:trPr>
          <w:trHeight w:val="315"/>
        </w:trPr>
        <w:tc>
          <w:tcPr>
            <w:tcW w:w="1226" w:type="pct"/>
            <w:noWrap/>
            <w:vAlign w:val="bottom"/>
          </w:tcPr>
          <w:p w:rsidR="00FD7698" w:rsidRPr="00FD7698" w:rsidRDefault="00FD7698" w:rsidP="00F158F3">
            <w:pPr>
              <w:jc w:val="center"/>
              <w:rPr>
                <w:rFonts w:ascii="Times New Roman" w:hAnsi="Times New Roman"/>
                <w:sz w:val="20"/>
                <w:szCs w:val="20"/>
              </w:rPr>
            </w:pPr>
            <w:r w:rsidRPr="00FD7698">
              <w:rPr>
                <w:rFonts w:ascii="Times New Roman" w:hAnsi="Times New Roman"/>
                <w:sz w:val="20"/>
                <w:szCs w:val="20"/>
              </w:rPr>
              <w:t>Plan Central Sector</w:t>
            </w:r>
          </w:p>
        </w:tc>
        <w:tc>
          <w:tcPr>
            <w:tcW w:w="1051" w:type="pct"/>
            <w:noWrap/>
            <w:vAlign w:val="bottom"/>
          </w:tcPr>
          <w:p w:rsidR="00FD7698" w:rsidRPr="00FD7698" w:rsidRDefault="00FD7698" w:rsidP="00F158F3">
            <w:pPr>
              <w:jc w:val="center"/>
              <w:rPr>
                <w:rFonts w:ascii="Times New Roman" w:hAnsi="Times New Roman"/>
                <w:bCs/>
                <w:iCs/>
                <w:sz w:val="20"/>
                <w:szCs w:val="20"/>
              </w:rPr>
            </w:pPr>
            <w:r w:rsidRPr="00FD7698">
              <w:rPr>
                <w:rFonts w:ascii="Times New Roman" w:hAnsi="Times New Roman"/>
                <w:bCs/>
                <w:iCs/>
                <w:sz w:val="20"/>
                <w:szCs w:val="20"/>
              </w:rPr>
              <w:t>247.07</w:t>
            </w:r>
          </w:p>
        </w:tc>
        <w:tc>
          <w:tcPr>
            <w:tcW w:w="865" w:type="pct"/>
            <w:noWrap/>
            <w:vAlign w:val="bottom"/>
          </w:tcPr>
          <w:p w:rsidR="00FD7698" w:rsidRPr="00FD7698" w:rsidRDefault="00FD7698" w:rsidP="00F158F3">
            <w:pPr>
              <w:jc w:val="center"/>
              <w:rPr>
                <w:rFonts w:ascii="Times New Roman" w:hAnsi="Times New Roman"/>
                <w:bCs/>
                <w:iCs/>
                <w:sz w:val="20"/>
                <w:szCs w:val="20"/>
              </w:rPr>
            </w:pPr>
            <w:r>
              <w:rPr>
                <w:rFonts w:ascii="Times New Roman" w:hAnsi="Times New Roman"/>
                <w:bCs/>
                <w:iCs/>
                <w:sz w:val="20"/>
                <w:szCs w:val="20"/>
              </w:rPr>
              <w:t>20.57</w:t>
            </w:r>
          </w:p>
        </w:tc>
        <w:tc>
          <w:tcPr>
            <w:tcW w:w="943" w:type="pct"/>
            <w:noWrap/>
            <w:vAlign w:val="bottom"/>
          </w:tcPr>
          <w:p w:rsidR="00FD7698" w:rsidRPr="00FD7698" w:rsidRDefault="00FD7698" w:rsidP="00F158F3">
            <w:pPr>
              <w:jc w:val="center"/>
              <w:rPr>
                <w:rFonts w:ascii="Times New Roman" w:hAnsi="Times New Roman"/>
                <w:bCs/>
                <w:iCs/>
                <w:sz w:val="20"/>
                <w:szCs w:val="20"/>
              </w:rPr>
            </w:pPr>
            <w:r>
              <w:rPr>
                <w:rFonts w:ascii="Times New Roman" w:hAnsi="Times New Roman"/>
                <w:bCs/>
                <w:iCs/>
                <w:sz w:val="20"/>
                <w:szCs w:val="20"/>
              </w:rPr>
              <w:t>56.23</w:t>
            </w:r>
          </w:p>
        </w:tc>
        <w:tc>
          <w:tcPr>
            <w:tcW w:w="915" w:type="pct"/>
            <w:noWrap/>
            <w:vAlign w:val="bottom"/>
          </w:tcPr>
          <w:p w:rsidR="00FD7698" w:rsidRPr="00FD7698" w:rsidRDefault="00FD7698" w:rsidP="00F158F3">
            <w:pPr>
              <w:jc w:val="center"/>
              <w:rPr>
                <w:rFonts w:ascii="Times New Roman" w:hAnsi="Times New Roman"/>
                <w:bCs/>
                <w:iCs/>
                <w:sz w:val="20"/>
                <w:szCs w:val="20"/>
              </w:rPr>
            </w:pPr>
            <w:r>
              <w:rPr>
                <w:rFonts w:ascii="Times New Roman" w:hAnsi="Times New Roman"/>
                <w:bCs/>
                <w:iCs/>
                <w:sz w:val="20"/>
                <w:szCs w:val="20"/>
              </w:rPr>
              <w:t>397.52</w:t>
            </w:r>
          </w:p>
        </w:tc>
      </w:tr>
      <w:tr w:rsidR="00FD7698" w:rsidRPr="00FD7698" w:rsidTr="00F158F3">
        <w:trPr>
          <w:trHeight w:val="315"/>
        </w:trPr>
        <w:tc>
          <w:tcPr>
            <w:tcW w:w="1226" w:type="pct"/>
            <w:noWrap/>
            <w:vAlign w:val="bottom"/>
          </w:tcPr>
          <w:p w:rsidR="00FD7698" w:rsidRPr="00FD7698" w:rsidRDefault="00FD7698" w:rsidP="00F158F3">
            <w:pPr>
              <w:jc w:val="center"/>
              <w:rPr>
                <w:rFonts w:ascii="Times New Roman" w:hAnsi="Times New Roman"/>
                <w:sz w:val="20"/>
                <w:szCs w:val="20"/>
              </w:rPr>
            </w:pPr>
            <w:r w:rsidRPr="00FD7698">
              <w:rPr>
                <w:rFonts w:ascii="Times New Roman" w:hAnsi="Times New Roman"/>
                <w:sz w:val="20"/>
                <w:szCs w:val="20"/>
              </w:rPr>
              <w:t>CSS</w:t>
            </w:r>
          </w:p>
        </w:tc>
        <w:tc>
          <w:tcPr>
            <w:tcW w:w="1051" w:type="pct"/>
            <w:noWrap/>
            <w:vAlign w:val="bottom"/>
          </w:tcPr>
          <w:p w:rsidR="00FD7698" w:rsidRPr="00FD7698" w:rsidRDefault="00FD7698" w:rsidP="00F158F3">
            <w:pPr>
              <w:jc w:val="center"/>
              <w:rPr>
                <w:rFonts w:ascii="Times New Roman" w:hAnsi="Times New Roman"/>
                <w:bCs/>
                <w:iCs/>
                <w:sz w:val="20"/>
                <w:szCs w:val="20"/>
              </w:rPr>
            </w:pPr>
            <w:r w:rsidRPr="00FD7698">
              <w:rPr>
                <w:rFonts w:ascii="Times New Roman" w:hAnsi="Times New Roman"/>
                <w:bCs/>
                <w:iCs/>
                <w:sz w:val="20"/>
                <w:szCs w:val="20"/>
              </w:rPr>
              <w:t>642.11</w:t>
            </w:r>
          </w:p>
        </w:tc>
        <w:tc>
          <w:tcPr>
            <w:tcW w:w="865" w:type="pct"/>
            <w:noWrap/>
            <w:vAlign w:val="bottom"/>
          </w:tcPr>
          <w:p w:rsidR="00FD7698" w:rsidRPr="00FD7698" w:rsidRDefault="00FD7698" w:rsidP="00F158F3">
            <w:pPr>
              <w:jc w:val="center"/>
              <w:rPr>
                <w:rFonts w:ascii="Times New Roman" w:hAnsi="Times New Roman"/>
                <w:bCs/>
                <w:iCs/>
                <w:sz w:val="20"/>
                <w:szCs w:val="20"/>
              </w:rPr>
            </w:pPr>
            <w:r>
              <w:rPr>
                <w:rFonts w:ascii="Times New Roman" w:hAnsi="Times New Roman"/>
                <w:bCs/>
                <w:iCs/>
                <w:sz w:val="20"/>
                <w:szCs w:val="20"/>
              </w:rPr>
              <w:t>89.52</w:t>
            </w:r>
          </w:p>
        </w:tc>
        <w:tc>
          <w:tcPr>
            <w:tcW w:w="943" w:type="pct"/>
            <w:noWrap/>
            <w:vAlign w:val="bottom"/>
          </w:tcPr>
          <w:p w:rsidR="00FD7698" w:rsidRPr="00FD7698" w:rsidRDefault="00FD7698" w:rsidP="00F158F3">
            <w:pPr>
              <w:jc w:val="center"/>
              <w:rPr>
                <w:rFonts w:ascii="Times New Roman" w:hAnsi="Times New Roman"/>
                <w:bCs/>
                <w:iCs/>
                <w:sz w:val="20"/>
                <w:szCs w:val="20"/>
              </w:rPr>
            </w:pPr>
            <w:r>
              <w:rPr>
                <w:rFonts w:ascii="Times New Roman" w:hAnsi="Times New Roman"/>
                <w:bCs/>
                <w:iCs/>
                <w:sz w:val="20"/>
                <w:szCs w:val="20"/>
              </w:rPr>
              <w:t>140.69</w:t>
            </w:r>
          </w:p>
        </w:tc>
        <w:tc>
          <w:tcPr>
            <w:tcW w:w="915" w:type="pct"/>
            <w:noWrap/>
            <w:vAlign w:val="bottom"/>
          </w:tcPr>
          <w:p w:rsidR="00FD7698" w:rsidRPr="00FD7698" w:rsidRDefault="00FD7698" w:rsidP="00F158F3">
            <w:pPr>
              <w:jc w:val="center"/>
              <w:rPr>
                <w:rFonts w:ascii="Times New Roman" w:hAnsi="Times New Roman"/>
                <w:bCs/>
                <w:iCs/>
                <w:sz w:val="20"/>
                <w:szCs w:val="20"/>
              </w:rPr>
            </w:pPr>
            <w:r>
              <w:rPr>
                <w:rFonts w:ascii="Times New Roman" w:hAnsi="Times New Roman"/>
                <w:bCs/>
                <w:iCs/>
                <w:sz w:val="20"/>
                <w:szCs w:val="20"/>
              </w:rPr>
              <w:t>170.34</w:t>
            </w:r>
          </w:p>
        </w:tc>
      </w:tr>
      <w:tr w:rsidR="00FD7698" w:rsidRPr="00FD7698" w:rsidTr="00F158F3">
        <w:trPr>
          <w:trHeight w:val="315"/>
        </w:trPr>
        <w:tc>
          <w:tcPr>
            <w:tcW w:w="1226" w:type="pct"/>
            <w:noWrap/>
            <w:vAlign w:val="bottom"/>
          </w:tcPr>
          <w:p w:rsidR="00FD7698" w:rsidRPr="00FD7698" w:rsidRDefault="00FD7698" w:rsidP="00F158F3">
            <w:pPr>
              <w:jc w:val="center"/>
              <w:rPr>
                <w:rFonts w:ascii="Times New Roman" w:hAnsi="Times New Roman"/>
                <w:b/>
                <w:sz w:val="20"/>
                <w:szCs w:val="20"/>
              </w:rPr>
            </w:pPr>
            <w:r w:rsidRPr="00FD7698">
              <w:rPr>
                <w:rFonts w:ascii="Times New Roman" w:hAnsi="Times New Roman"/>
                <w:b/>
                <w:sz w:val="20"/>
                <w:szCs w:val="20"/>
              </w:rPr>
              <w:t>Total</w:t>
            </w:r>
          </w:p>
        </w:tc>
        <w:tc>
          <w:tcPr>
            <w:tcW w:w="1051" w:type="pct"/>
            <w:noWrap/>
            <w:vAlign w:val="bottom"/>
          </w:tcPr>
          <w:p w:rsidR="00FD7698" w:rsidRPr="00FD7698" w:rsidRDefault="00FD7698" w:rsidP="00F158F3">
            <w:pPr>
              <w:jc w:val="center"/>
              <w:rPr>
                <w:rFonts w:ascii="Times New Roman" w:hAnsi="Times New Roman"/>
                <w:b/>
                <w:bCs/>
                <w:iCs/>
                <w:sz w:val="20"/>
                <w:szCs w:val="20"/>
              </w:rPr>
            </w:pPr>
            <w:r>
              <w:rPr>
                <w:rFonts w:ascii="Times New Roman" w:hAnsi="Times New Roman"/>
                <w:b/>
                <w:bCs/>
                <w:iCs/>
                <w:sz w:val="20"/>
                <w:szCs w:val="20"/>
              </w:rPr>
              <w:t>889.18</w:t>
            </w:r>
          </w:p>
        </w:tc>
        <w:tc>
          <w:tcPr>
            <w:tcW w:w="865" w:type="pct"/>
            <w:noWrap/>
            <w:vAlign w:val="bottom"/>
          </w:tcPr>
          <w:p w:rsidR="00FD7698" w:rsidRPr="00FD7698" w:rsidRDefault="00FD7698" w:rsidP="00F158F3">
            <w:pPr>
              <w:jc w:val="center"/>
              <w:rPr>
                <w:rFonts w:ascii="Times New Roman" w:hAnsi="Times New Roman"/>
                <w:b/>
                <w:bCs/>
                <w:iCs/>
                <w:sz w:val="20"/>
                <w:szCs w:val="20"/>
              </w:rPr>
            </w:pPr>
            <w:r>
              <w:rPr>
                <w:rFonts w:ascii="Times New Roman" w:hAnsi="Times New Roman"/>
                <w:b/>
                <w:bCs/>
                <w:iCs/>
                <w:sz w:val="20"/>
                <w:szCs w:val="20"/>
              </w:rPr>
              <w:t>110.09</w:t>
            </w:r>
          </w:p>
        </w:tc>
        <w:tc>
          <w:tcPr>
            <w:tcW w:w="943" w:type="pct"/>
            <w:noWrap/>
            <w:vAlign w:val="bottom"/>
          </w:tcPr>
          <w:p w:rsidR="00FD7698" w:rsidRPr="00FD7698" w:rsidRDefault="00FD7698" w:rsidP="00F158F3">
            <w:pPr>
              <w:jc w:val="center"/>
              <w:rPr>
                <w:rFonts w:ascii="Times New Roman" w:hAnsi="Times New Roman"/>
                <w:b/>
                <w:bCs/>
                <w:iCs/>
                <w:sz w:val="20"/>
                <w:szCs w:val="20"/>
              </w:rPr>
            </w:pPr>
            <w:r>
              <w:rPr>
                <w:rFonts w:ascii="Times New Roman" w:hAnsi="Times New Roman"/>
                <w:b/>
                <w:bCs/>
                <w:iCs/>
                <w:sz w:val="20"/>
                <w:szCs w:val="20"/>
              </w:rPr>
              <w:t>196.92</w:t>
            </w:r>
          </w:p>
        </w:tc>
        <w:tc>
          <w:tcPr>
            <w:tcW w:w="915" w:type="pct"/>
            <w:noWrap/>
            <w:vAlign w:val="bottom"/>
          </w:tcPr>
          <w:p w:rsidR="00FD7698" w:rsidRPr="00FD7698" w:rsidRDefault="00FD7698" w:rsidP="00F158F3">
            <w:pPr>
              <w:jc w:val="center"/>
              <w:rPr>
                <w:rFonts w:ascii="Times New Roman" w:hAnsi="Times New Roman"/>
                <w:b/>
                <w:bCs/>
                <w:iCs/>
                <w:sz w:val="20"/>
                <w:szCs w:val="20"/>
              </w:rPr>
            </w:pPr>
            <w:r>
              <w:rPr>
                <w:rFonts w:ascii="Times New Roman" w:hAnsi="Times New Roman"/>
                <w:b/>
                <w:bCs/>
                <w:iCs/>
                <w:sz w:val="20"/>
                <w:szCs w:val="20"/>
              </w:rPr>
              <w:t>564.86</w:t>
            </w:r>
          </w:p>
        </w:tc>
      </w:tr>
      <w:tr w:rsidR="00077BAE" w:rsidRPr="00FD7698" w:rsidTr="00F158F3">
        <w:trPr>
          <w:trHeight w:val="315"/>
        </w:trPr>
        <w:tc>
          <w:tcPr>
            <w:tcW w:w="5000" w:type="pct"/>
            <w:gridSpan w:val="5"/>
            <w:noWrap/>
            <w:vAlign w:val="bottom"/>
          </w:tcPr>
          <w:p w:rsidR="00077BAE" w:rsidRDefault="00077BAE" w:rsidP="00F158F3">
            <w:pPr>
              <w:jc w:val="center"/>
              <w:rPr>
                <w:rFonts w:ascii="Times New Roman" w:hAnsi="Times New Roman"/>
                <w:b/>
                <w:bCs/>
                <w:iCs/>
                <w:sz w:val="20"/>
                <w:szCs w:val="20"/>
              </w:rPr>
            </w:pPr>
            <w:r>
              <w:rPr>
                <w:rFonts w:ascii="Times New Roman" w:hAnsi="Times New Roman"/>
                <w:b/>
                <w:bCs/>
                <w:iCs/>
                <w:sz w:val="20"/>
                <w:szCs w:val="20"/>
              </w:rPr>
              <w:t>2017-18</w:t>
            </w:r>
          </w:p>
        </w:tc>
      </w:tr>
      <w:tr w:rsidR="00077BAE" w:rsidRPr="00FD7698" w:rsidTr="00F158F3">
        <w:trPr>
          <w:trHeight w:val="315"/>
        </w:trPr>
        <w:tc>
          <w:tcPr>
            <w:tcW w:w="1226" w:type="pct"/>
            <w:noWrap/>
            <w:vAlign w:val="bottom"/>
          </w:tcPr>
          <w:p w:rsidR="00077BAE" w:rsidRPr="00FD7698" w:rsidRDefault="00077BAE" w:rsidP="00F158F3">
            <w:pPr>
              <w:jc w:val="center"/>
              <w:rPr>
                <w:rFonts w:ascii="Times New Roman" w:hAnsi="Times New Roman"/>
                <w:b/>
                <w:sz w:val="20"/>
                <w:szCs w:val="20"/>
              </w:rPr>
            </w:pPr>
          </w:p>
        </w:tc>
        <w:tc>
          <w:tcPr>
            <w:tcW w:w="1051" w:type="pct"/>
            <w:noWrap/>
            <w:vAlign w:val="bottom"/>
          </w:tcPr>
          <w:p w:rsidR="00077BAE" w:rsidRDefault="00077BAE" w:rsidP="00F158F3">
            <w:pPr>
              <w:jc w:val="center"/>
              <w:rPr>
                <w:rFonts w:ascii="Times New Roman" w:hAnsi="Times New Roman"/>
                <w:b/>
                <w:bCs/>
                <w:iCs/>
                <w:sz w:val="20"/>
                <w:szCs w:val="20"/>
              </w:rPr>
            </w:pPr>
          </w:p>
        </w:tc>
        <w:tc>
          <w:tcPr>
            <w:tcW w:w="865" w:type="pct"/>
            <w:noWrap/>
            <w:vAlign w:val="bottom"/>
          </w:tcPr>
          <w:p w:rsidR="00077BAE" w:rsidRDefault="00077BAE" w:rsidP="00F158F3">
            <w:pPr>
              <w:jc w:val="center"/>
              <w:rPr>
                <w:rFonts w:ascii="Times New Roman" w:hAnsi="Times New Roman"/>
                <w:b/>
                <w:bCs/>
                <w:iCs/>
                <w:sz w:val="20"/>
                <w:szCs w:val="20"/>
              </w:rPr>
            </w:pPr>
          </w:p>
        </w:tc>
        <w:tc>
          <w:tcPr>
            <w:tcW w:w="943" w:type="pct"/>
            <w:noWrap/>
            <w:vAlign w:val="bottom"/>
          </w:tcPr>
          <w:p w:rsidR="00077BAE" w:rsidRDefault="00077BAE" w:rsidP="00F158F3">
            <w:pPr>
              <w:jc w:val="center"/>
              <w:rPr>
                <w:rFonts w:ascii="Times New Roman" w:hAnsi="Times New Roman"/>
                <w:b/>
                <w:bCs/>
                <w:iCs/>
                <w:sz w:val="20"/>
                <w:szCs w:val="20"/>
              </w:rPr>
            </w:pPr>
          </w:p>
        </w:tc>
        <w:tc>
          <w:tcPr>
            <w:tcW w:w="915" w:type="pct"/>
            <w:noWrap/>
            <w:vAlign w:val="bottom"/>
          </w:tcPr>
          <w:p w:rsidR="00077BAE" w:rsidRDefault="00077BAE" w:rsidP="00F158F3">
            <w:pPr>
              <w:jc w:val="center"/>
              <w:rPr>
                <w:rFonts w:ascii="Times New Roman" w:hAnsi="Times New Roman"/>
                <w:b/>
                <w:bCs/>
                <w:iCs/>
                <w:sz w:val="20"/>
                <w:szCs w:val="20"/>
              </w:rPr>
            </w:pPr>
          </w:p>
        </w:tc>
      </w:tr>
      <w:tr w:rsidR="00077BAE" w:rsidRPr="00FD7698" w:rsidTr="00F158F3">
        <w:trPr>
          <w:trHeight w:val="315"/>
        </w:trPr>
        <w:tc>
          <w:tcPr>
            <w:tcW w:w="1226" w:type="pct"/>
            <w:noWrap/>
            <w:vAlign w:val="bottom"/>
          </w:tcPr>
          <w:p w:rsidR="00077BAE" w:rsidRPr="00FD7698" w:rsidRDefault="00077BAE" w:rsidP="00F158F3">
            <w:pPr>
              <w:jc w:val="center"/>
              <w:rPr>
                <w:rFonts w:ascii="Times New Roman" w:hAnsi="Times New Roman"/>
                <w:sz w:val="20"/>
                <w:szCs w:val="20"/>
              </w:rPr>
            </w:pPr>
            <w:r w:rsidRPr="00FD7698">
              <w:rPr>
                <w:rFonts w:ascii="Times New Roman" w:hAnsi="Times New Roman"/>
                <w:sz w:val="20"/>
                <w:szCs w:val="20"/>
              </w:rPr>
              <w:t>Plan Central Sector</w:t>
            </w:r>
          </w:p>
        </w:tc>
        <w:tc>
          <w:tcPr>
            <w:tcW w:w="1051" w:type="pct"/>
            <w:noWrap/>
            <w:vAlign w:val="bottom"/>
          </w:tcPr>
          <w:p w:rsidR="00077BAE" w:rsidRPr="00FB5253" w:rsidRDefault="00FB5253" w:rsidP="00F158F3">
            <w:pPr>
              <w:jc w:val="center"/>
              <w:rPr>
                <w:rFonts w:ascii="Times New Roman" w:hAnsi="Times New Roman"/>
                <w:bCs/>
                <w:iCs/>
                <w:sz w:val="20"/>
                <w:szCs w:val="20"/>
              </w:rPr>
            </w:pPr>
            <w:r w:rsidRPr="00FB5253">
              <w:rPr>
                <w:rFonts w:ascii="Times New Roman" w:hAnsi="Times New Roman"/>
                <w:bCs/>
                <w:iCs/>
                <w:sz w:val="20"/>
                <w:szCs w:val="20"/>
              </w:rPr>
              <w:t>328.47</w:t>
            </w:r>
          </w:p>
        </w:tc>
        <w:tc>
          <w:tcPr>
            <w:tcW w:w="865" w:type="pct"/>
            <w:noWrap/>
            <w:vAlign w:val="bottom"/>
          </w:tcPr>
          <w:p w:rsidR="00077BAE" w:rsidRPr="00FB5253" w:rsidRDefault="00FB5253" w:rsidP="00F158F3">
            <w:pPr>
              <w:jc w:val="center"/>
              <w:rPr>
                <w:rFonts w:ascii="Times New Roman" w:hAnsi="Times New Roman"/>
                <w:bCs/>
                <w:iCs/>
                <w:sz w:val="20"/>
                <w:szCs w:val="20"/>
              </w:rPr>
            </w:pPr>
            <w:r>
              <w:rPr>
                <w:rFonts w:ascii="Times New Roman" w:hAnsi="Times New Roman"/>
                <w:bCs/>
                <w:iCs/>
                <w:sz w:val="20"/>
                <w:szCs w:val="20"/>
              </w:rPr>
              <w:t>88.02</w:t>
            </w:r>
          </w:p>
        </w:tc>
        <w:tc>
          <w:tcPr>
            <w:tcW w:w="943" w:type="pct"/>
            <w:noWrap/>
            <w:vAlign w:val="bottom"/>
          </w:tcPr>
          <w:p w:rsidR="00077BAE" w:rsidRPr="00FB5253" w:rsidRDefault="00FB5253" w:rsidP="00F158F3">
            <w:pPr>
              <w:jc w:val="center"/>
              <w:rPr>
                <w:rFonts w:ascii="Times New Roman" w:hAnsi="Times New Roman"/>
                <w:bCs/>
                <w:iCs/>
                <w:sz w:val="20"/>
                <w:szCs w:val="20"/>
              </w:rPr>
            </w:pPr>
            <w:r>
              <w:rPr>
                <w:rFonts w:ascii="Times New Roman" w:hAnsi="Times New Roman"/>
                <w:bCs/>
                <w:iCs/>
                <w:sz w:val="20"/>
                <w:szCs w:val="20"/>
              </w:rPr>
              <w:t>108.05</w:t>
            </w:r>
          </w:p>
        </w:tc>
        <w:tc>
          <w:tcPr>
            <w:tcW w:w="915" w:type="pct"/>
            <w:noWrap/>
            <w:vAlign w:val="bottom"/>
          </w:tcPr>
          <w:p w:rsidR="00077BAE" w:rsidRPr="00FB5253" w:rsidRDefault="00FB5253" w:rsidP="00F158F3">
            <w:pPr>
              <w:jc w:val="center"/>
              <w:rPr>
                <w:rFonts w:ascii="Times New Roman" w:hAnsi="Times New Roman"/>
                <w:bCs/>
                <w:iCs/>
                <w:sz w:val="20"/>
                <w:szCs w:val="20"/>
              </w:rPr>
            </w:pPr>
            <w:r>
              <w:rPr>
                <w:rFonts w:ascii="Times New Roman" w:hAnsi="Times New Roman"/>
                <w:bCs/>
                <w:iCs/>
                <w:sz w:val="20"/>
                <w:szCs w:val="20"/>
              </w:rPr>
              <w:t>383.35</w:t>
            </w:r>
          </w:p>
        </w:tc>
      </w:tr>
      <w:tr w:rsidR="00077BAE" w:rsidRPr="00FD7698" w:rsidTr="00F158F3">
        <w:trPr>
          <w:trHeight w:val="315"/>
        </w:trPr>
        <w:tc>
          <w:tcPr>
            <w:tcW w:w="1226" w:type="pct"/>
            <w:noWrap/>
            <w:vAlign w:val="bottom"/>
          </w:tcPr>
          <w:p w:rsidR="00077BAE" w:rsidRPr="00FD7698" w:rsidRDefault="00077BAE" w:rsidP="00F158F3">
            <w:pPr>
              <w:jc w:val="center"/>
              <w:rPr>
                <w:rFonts w:ascii="Times New Roman" w:hAnsi="Times New Roman"/>
                <w:sz w:val="20"/>
                <w:szCs w:val="20"/>
              </w:rPr>
            </w:pPr>
            <w:r w:rsidRPr="00FD7698">
              <w:rPr>
                <w:rFonts w:ascii="Times New Roman" w:hAnsi="Times New Roman"/>
                <w:sz w:val="20"/>
                <w:szCs w:val="20"/>
              </w:rPr>
              <w:t>CSS</w:t>
            </w:r>
          </w:p>
        </w:tc>
        <w:tc>
          <w:tcPr>
            <w:tcW w:w="1051" w:type="pct"/>
            <w:noWrap/>
            <w:vAlign w:val="bottom"/>
          </w:tcPr>
          <w:p w:rsidR="00077BAE" w:rsidRPr="00FB5253" w:rsidRDefault="00FB5253" w:rsidP="00F158F3">
            <w:pPr>
              <w:jc w:val="center"/>
              <w:rPr>
                <w:rFonts w:ascii="Times New Roman" w:hAnsi="Times New Roman"/>
                <w:bCs/>
                <w:iCs/>
                <w:sz w:val="20"/>
                <w:szCs w:val="20"/>
              </w:rPr>
            </w:pPr>
            <w:r w:rsidRPr="00FB5253">
              <w:rPr>
                <w:rFonts w:ascii="Times New Roman" w:hAnsi="Times New Roman"/>
                <w:bCs/>
                <w:iCs/>
                <w:sz w:val="20"/>
                <w:szCs w:val="20"/>
              </w:rPr>
              <w:t>1022.25</w:t>
            </w:r>
          </w:p>
        </w:tc>
        <w:tc>
          <w:tcPr>
            <w:tcW w:w="865" w:type="pct"/>
            <w:noWrap/>
            <w:vAlign w:val="bottom"/>
          </w:tcPr>
          <w:p w:rsidR="00077BAE" w:rsidRPr="00FB5253" w:rsidRDefault="00FB5253" w:rsidP="00F158F3">
            <w:pPr>
              <w:jc w:val="center"/>
              <w:rPr>
                <w:rFonts w:ascii="Times New Roman" w:hAnsi="Times New Roman"/>
                <w:bCs/>
                <w:iCs/>
                <w:sz w:val="20"/>
                <w:szCs w:val="20"/>
              </w:rPr>
            </w:pPr>
            <w:r>
              <w:rPr>
                <w:rFonts w:ascii="Times New Roman" w:hAnsi="Times New Roman"/>
                <w:bCs/>
                <w:iCs/>
                <w:sz w:val="20"/>
                <w:szCs w:val="20"/>
              </w:rPr>
              <w:t>249.48</w:t>
            </w:r>
          </w:p>
        </w:tc>
        <w:tc>
          <w:tcPr>
            <w:tcW w:w="943" w:type="pct"/>
            <w:noWrap/>
            <w:vAlign w:val="bottom"/>
          </w:tcPr>
          <w:p w:rsidR="00077BAE" w:rsidRPr="00FB5253" w:rsidRDefault="00FB5253" w:rsidP="00F158F3">
            <w:pPr>
              <w:jc w:val="center"/>
              <w:rPr>
                <w:rFonts w:ascii="Times New Roman" w:hAnsi="Times New Roman"/>
                <w:bCs/>
                <w:iCs/>
                <w:sz w:val="20"/>
                <w:szCs w:val="20"/>
              </w:rPr>
            </w:pPr>
            <w:r>
              <w:rPr>
                <w:rFonts w:ascii="Times New Roman" w:hAnsi="Times New Roman"/>
                <w:bCs/>
                <w:iCs/>
                <w:sz w:val="20"/>
                <w:szCs w:val="20"/>
              </w:rPr>
              <w:t>304.35</w:t>
            </w:r>
          </w:p>
        </w:tc>
        <w:tc>
          <w:tcPr>
            <w:tcW w:w="915" w:type="pct"/>
            <w:noWrap/>
            <w:vAlign w:val="bottom"/>
          </w:tcPr>
          <w:p w:rsidR="00077BAE" w:rsidRPr="00FB5253" w:rsidRDefault="00FB5253" w:rsidP="00F158F3">
            <w:pPr>
              <w:jc w:val="center"/>
              <w:rPr>
                <w:rFonts w:ascii="Times New Roman" w:hAnsi="Times New Roman"/>
                <w:bCs/>
                <w:iCs/>
                <w:sz w:val="20"/>
                <w:szCs w:val="20"/>
              </w:rPr>
            </w:pPr>
            <w:r>
              <w:rPr>
                <w:rFonts w:ascii="Times New Roman" w:hAnsi="Times New Roman"/>
                <w:bCs/>
                <w:iCs/>
                <w:sz w:val="20"/>
                <w:szCs w:val="20"/>
              </w:rPr>
              <w:t>500.73</w:t>
            </w:r>
          </w:p>
        </w:tc>
      </w:tr>
      <w:tr w:rsidR="00077BAE" w:rsidRPr="00FD7698" w:rsidTr="00F158F3">
        <w:trPr>
          <w:trHeight w:val="315"/>
        </w:trPr>
        <w:tc>
          <w:tcPr>
            <w:tcW w:w="1226" w:type="pct"/>
            <w:noWrap/>
            <w:vAlign w:val="bottom"/>
          </w:tcPr>
          <w:p w:rsidR="00077BAE" w:rsidRPr="00FD7698" w:rsidRDefault="00077BAE" w:rsidP="00F158F3">
            <w:pPr>
              <w:jc w:val="center"/>
              <w:rPr>
                <w:rFonts w:ascii="Times New Roman" w:hAnsi="Times New Roman"/>
                <w:b/>
                <w:sz w:val="20"/>
                <w:szCs w:val="20"/>
              </w:rPr>
            </w:pPr>
            <w:r w:rsidRPr="00FD7698">
              <w:rPr>
                <w:rFonts w:ascii="Times New Roman" w:hAnsi="Times New Roman"/>
                <w:b/>
                <w:sz w:val="20"/>
                <w:szCs w:val="20"/>
              </w:rPr>
              <w:t>Total</w:t>
            </w:r>
          </w:p>
        </w:tc>
        <w:tc>
          <w:tcPr>
            <w:tcW w:w="1051" w:type="pct"/>
            <w:noWrap/>
            <w:vAlign w:val="bottom"/>
          </w:tcPr>
          <w:p w:rsidR="00077BAE" w:rsidRDefault="00FB5253" w:rsidP="00F158F3">
            <w:pPr>
              <w:jc w:val="center"/>
              <w:rPr>
                <w:rFonts w:ascii="Times New Roman" w:hAnsi="Times New Roman"/>
                <w:b/>
                <w:bCs/>
                <w:iCs/>
                <w:sz w:val="20"/>
                <w:szCs w:val="20"/>
              </w:rPr>
            </w:pPr>
            <w:r>
              <w:rPr>
                <w:rFonts w:ascii="Times New Roman" w:hAnsi="Times New Roman"/>
                <w:b/>
                <w:bCs/>
                <w:iCs/>
                <w:sz w:val="20"/>
                <w:szCs w:val="20"/>
              </w:rPr>
              <w:t>1350.72</w:t>
            </w:r>
          </w:p>
        </w:tc>
        <w:tc>
          <w:tcPr>
            <w:tcW w:w="865" w:type="pct"/>
            <w:noWrap/>
            <w:vAlign w:val="bottom"/>
          </w:tcPr>
          <w:p w:rsidR="00077BAE" w:rsidRDefault="00FB5253" w:rsidP="00F158F3">
            <w:pPr>
              <w:jc w:val="center"/>
              <w:rPr>
                <w:rFonts w:ascii="Times New Roman" w:hAnsi="Times New Roman"/>
                <w:b/>
                <w:bCs/>
                <w:iCs/>
                <w:sz w:val="20"/>
                <w:szCs w:val="20"/>
              </w:rPr>
            </w:pPr>
            <w:r>
              <w:rPr>
                <w:rFonts w:ascii="Times New Roman" w:hAnsi="Times New Roman"/>
                <w:b/>
                <w:bCs/>
                <w:iCs/>
                <w:sz w:val="20"/>
                <w:szCs w:val="20"/>
              </w:rPr>
              <w:t>337.50</w:t>
            </w:r>
          </w:p>
        </w:tc>
        <w:tc>
          <w:tcPr>
            <w:tcW w:w="943" w:type="pct"/>
            <w:noWrap/>
            <w:vAlign w:val="bottom"/>
          </w:tcPr>
          <w:p w:rsidR="00077BAE" w:rsidRDefault="00FB5253" w:rsidP="00F158F3">
            <w:pPr>
              <w:jc w:val="center"/>
              <w:rPr>
                <w:rFonts w:ascii="Times New Roman" w:hAnsi="Times New Roman"/>
                <w:b/>
                <w:bCs/>
                <w:iCs/>
                <w:sz w:val="20"/>
                <w:szCs w:val="20"/>
              </w:rPr>
            </w:pPr>
            <w:r>
              <w:rPr>
                <w:rFonts w:ascii="Times New Roman" w:hAnsi="Times New Roman"/>
                <w:b/>
                <w:bCs/>
                <w:iCs/>
                <w:sz w:val="20"/>
                <w:szCs w:val="20"/>
              </w:rPr>
              <w:t>412.40</w:t>
            </w:r>
          </w:p>
        </w:tc>
        <w:tc>
          <w:tcPr>
            <w:tcW w:w="915" w:type="pct"/>
            <w:noWrap/>
            <w:vAlign w:val="bottom"/>
          </w:tcPr>
          <w:p w:rsidR="00077BAE" w:rsidRDefault="00FB5253" w:rsidP="00F158F3">
            <w:pPr>
              <w:jc w:val="center"/>
              <w:rPr>
                <w:rFonts w:ascii="Times New Roman" w:hAnsi="Times New Roman"/>
                <w:b/>
                <w:bCs/>
                <w:iCs/>
                <w:sz w:val="20"/>
                <w:szCs w:val="20"/>
              </w:rPr>
            </w:pPr>
            <w:r>
              <w:rPr>
                <w:rFonts w:ascii="Times New Roman" w:hAnsi="Times New Roman"/>
                <w:b/>
                <w:bCs/>
                <w:iCs/>
                <w:sz w:val="20"/>
                <w:szCs w:val="20"/>
              </w:rPr>
              <w:t>884.08</w:t>
            </w:r>
          </w:p>
        </w:tc>
      </w:tr>
      <w:tr w:rsidR="00907F18" w:rsidRPr="00FD7698" w:rsidTr="00F158F3">
        <w:trPr>
          <w:trHeight w:val="315"/>
        </w:trPr>
        <w:tc>
          <w:tcPr>
            <w:tcW w:w="5000" w:type="pct"/>
            <w:gridSpan w:val="5"/>
            <w:noWrap/>
            <w:vAlign w:val="bottom"/>
          </w:tcPr>
          <w:p w:rsidR="00907F18" w:rsidRDefault="00907F18" w:rsidP="00F158F3">
            <w:pPr>
              <w:jc w:val="center"/>
              <w:rPr>
                <w:rFonts w:ascii="Times New Roman" w:hAnsi="Times New Roman"/>
                <w:b/>
                <w:bCs/>
                <w:iCs/>
                <w:sz w:val="20"/>
                <w:szCs w:val="20"/>
              </w:rPr>
            </w:pPr>
            <w:r>
              <w:rPr>
                <w:rFonts w:ascii="Times New Roman" w:hAnsi="Times New Roman"/>
                <w:b/>
                <w:bCs/>
                <w:iCs/>
                <w:sz w:val="20"/>
                <w:szCs w:val="20"/>
              </w:rPr>
              <w:t>2018-19</w:t>
            </w:r>
          </w:p>
        </w:tc>
      </w:tr>
      <w:tr w:rsidR="00907F18" w:rsidRPr="00FD7698" w:rsidTr="00F158F3">
        <w:trPr>
          <w:trHeight w:val="315"/>
        </w:trPr>
        <w:tc>
          <w:tcPr>
            <w:tcW w:w="1226" w:type="pct"/>
            <w:noWrap/>
            <w:vAlign w:val="bottom"/>
          </w:tcPr>
          <w:p w:rsidR="00907F18" w:rsidRPr="00907F18" w:rsidRDefault="00907F18" w:rsidP="00F158F3">
            <w:pPr>
              <w:jc w:val="center"/>
              <w:rPr>
                <w:rFonts w:ascii="Times New Roman" w:hAnsi="Times New Roman"/>
                <w:sz w:val="20"/>
                <w:szCs w:val="20"/>
              </w:rPr>
            </w:pPr>
            <w:r w:rsidRPr="00907F18">
              <w:rPr>
                <w:rFonts w:ascii="Times New Roman" w:hAnsi="Times New Roman"/>
                <w:sz w:val="20"/>
                <w:szCs w:val="20"/>
              </w:rPr>
              <w:t>Plan Central Sector</w:t>
            </w:r>
          </w:p>
        </w:tc>
        <w:tc>
          <w:tcPr>
            <w:tcW w:w="1051" w:type="pct"/>
            <w:noWrap/>
            <w:vAlign w:val="bottom"/>
          </w:tcPr>
          <w:p w:rsidR="00907F18" w:rsidRPr="001412D8" w:rsidRDefault="001412D8" w:rsidP="00F158F3">
            <w:pPr>
              <w:jc w:val="center"/>
              <w:rPr>
                <w:rFonts w:ascii="Times New Roman" w:hAnsi="Times New Roman"/>
                <w:bCs/>
                <w:iCs/>
                <w:sz w:val="20"/>
                <w:szCs w:val="20"/>
              </w:rPr>
            </w:pPr>
            <w:r w:rsidRPr="001412D8">
              <w:rPr>
                <w:rFonts w:ascii="Times New Roman" w:hAnsi="Times New Roman"/>
                <w:bCs/>
                <w:iCs/>
                <w:sz w:val="20"/>
                <w:szCs w:val="20"/>
              </w:rPr>
              <w:t>481.06</w:t>
            </w:r>
          </w:p>
        </w:tc>
        <w:tc>
          <w:tcPr>
            <w:tcW w:w="865" w:type="pct"/>
            <w:noWrap/>
            <w:vAlign w:val="bottom"/>
          </w:tcPr>
          <w:p w:rsidR="00907F18" w:rsidRPr="001412D8" w:rsidRDefault="001412D8" w:rsidP="00F158F3">
            <w:pPr>
              <w:jc w:val="center"/>
              <w:rPr>
                <w:rFonts w:ascii="Times New Roman" w:hAnsi="Times New Roman"/>
                <w:bCs/>
                <w:iCs/>
                <w:sz w:val="20"/>
                <w:szCs w:val="20"/>
              </w:rPr>
            </w:pPr>
            <w:r>
              <w:rPr>
                <w:rFonts w:ascii="Times New Roman" w:hAnsi="Times New Roman"/>
                <w:bCs/>
                <w:iCs/>
                <w:sz w:val="20"/>
                <w:szCs w:val="20"/>
              </w:rPr>
              <w:t>110.09</w:t>
            </w:r>
          </w:p>
        </w:tc>
        <w:tc>
          <w:tcPr>
            <w:tcW w:w="943" w:type="pct"/>
            <w:noWrap/>
            <w:vAlign w:val="bottom"/>
          </w:tcPr>
          <w:p w:rsidR="00907F18" w:rsidRPr="001412D8" w:rsidRDefault="001412D8" w:rsidP="00F158F3">
            <w:pPr>
              <w:jc w:val="center"/>
              <w:rPr>
                <w:rFonts w:ascii="Times New Roman" w:hAnsi="Times New Roman"/>
                <w:bCs/>
                <w:iCs/>
                <w:sz w:val="20"/>
                <w:szCs w:val="20"/>
              </w:rPr>
            </w:pPr>
            <w:r>
              <w:rPr>
                <w:rFonts w:ascii="Times New Roman" w:hAnsi="Times New Roman"/>
                <w:bCs/>
                <w:iCs/>
                <w:sz w:val="20"/>
                <w:szCs w:val="20"/>
              </w:rPr>
              <w:t>179.69</w:t>
            </w:r>
          </w:p>
        </w:tc>
        <w:tc>
          <w:tcPr>
            <w:tcW w:w="915" w:type="pct"/>
            <w:noWrap/>
            <w:vAlign w:val="bottom"/>
          </w:tcPr>
          <w:p w:rsidR="00907F18" w:rsidRPr="001412D8" w:rsidRDefault="001412D8" w:rsidP="00F158F3">
            <w:pPr>
              <w:jc w:val="center"/>
              <w:rPr>
                <w:rFonts w:ascii="Times New Roman" w:hAnsi="Times New Roman"/>
                <w:bCs/>
                <w:iCs/>
                <w:sz w:val="20"/>
                <w:szCs w:val="20"/>
              </w:rPr>
            </w:pPr>
            <w:r>
              <w:rPr>
                <w:rFonts w:ascii="Times New Roman" w:hAnsi="Times New Roman"/>
                <w:bCs/>
                <w:iCs/>
                <w:sz w:val="20"/>
                <w:szCs w:val="20"/>
              </w:rPr>
              <w:t>202.18</w:t>
            </w:r>
          </w:p>
        </w:tc>
      </w:tr>
      <w:tr w:rsidR="00907F18" w:rsidRPr="00FD7698" w:rsidTr="00F158F3">
        <w:trPr>
          <w:trHeight w:val="315"/>
        </w:trPr>
        <w:tc>
          <w:tcPr>
            <w:tcW w:w="1226" w:type="pct"/>
            <w:noWrap/>
            <w:vAlign w:val="bottom"/>
          </w:tcPr>
          <w:p w:rsidR="00907F18" w:rsidRPr="00907F18" w:rsidRDefault="00907F18" w:rsidP="00F158F3">
            <w:pPr>
              <w:jc w:val="center"/>
              <w:rPr>
                <w:rFonts w:ascii="Times New Roman" w:hAnsi="Times New Roman"/>
                <w:sz w:val="20"/>
                <w:szCs w:val="20"/>
              </w:rPr>
            </w:pPr>
            <w:r w:rsidRPr="00907F18">
              <w:rPr>
                <w:rFonts w:ascii="Times New Roman" w:hAnsi="Times New Roman"/>
                <w:sz w:val="20"/>
                <w:szCs w:val="20"/>
              </w:rPr>
              <w:t>CSS</w:t>
            </w:r>
          </w:p>
        </w:tc>
        <w:tc>
          <w:tcPr>
            <w:tcW w:w="1051" w:type="pct"/>
            <w:noWrap/>
            <w:vAlign w:val="bottom"/>
          </w:tcPr>
          <w:p w:rsidR="00907F18" w:rsidRPr="001412D8" w:rsidRDefault="001412D8" w:rsidP="00F158F3">
            <w:pPr>
              <w:jc w:val="center"/>
              <w:rPr>
                <w:rFonts w:ascii="Times New Roman" w:hAnsi="Times New Roman"/>
                <w:bCs/>
                <w:iCs/>
                <w:sz w:val="20"/>
                <w:szCs w:val="20"/>
              </w:rPr>
            </w:pPr>
            <w:r>
              <w:rPr>
                <w:rFonts w:ascii="Times New Roman" w:hAnsi="Times New Roman"/>
                <w:bCs/>
                <w:iCs/>
                <w:sz w:val="20"/>
                <w:szCs w:val="20"/>
              </w:rPr>
              <w:t>1085.43</w:t>
            </w:r>
          </w:p>
        </w:tc>
        <w:tc>
          <w:tcPr>
            <w:tcW w:w="865" w:type="pct"/>
            <w:noWrap/>
            <w:vAlign w:val="bottom"/>
          </w:tcPr>
          <w:p w:rsidR="00907F18" w:rsidRPr="001412D8" w:rsidRDefault="001412D8" w:rsidP="00F158F3">
            <w:pPr>
              <w:jc w:val="center"/>
              <w:rPr>
                <w:rFonts w:ascii="Times New Roman" w:hAnsi="Times New Roman"/>
                <w:bCs/>
                <w:iCs/>
                <w:sz w:val="20"/>
                <w:szCs w:val="20"/>
              </w:rPr>
            </w:pPr>
            <w:r>
              <w:rPr>
                <w:rFonts w:ascii="Times New Roman" w:hAnsi="Times New Roman"/>
                <w:bCs/>
                <w:iCs/>
                <w:sz w:val="20"/>
                <w:szCs w:val="20"/>
              </w:rPr>
              <w:t>205.59</w:t>
            </w:r>
          </w:p>
        </w:tc>
        <w:tc>
          <w:tcPr>
            <w:tcW w:w="943" w:type="pct"/>
            <w:noWrap/>
            <w:vAlign w:val="bottom"/>
          </w:tcPr>
          <w:p w:rsidR="00907F18" w:rsidRPr="001412D8" w:rsidRDefault="001412D8" w:rsidP="00F158F3">
            <w:pPr>
              <w:jc w:val="center"/>
              <w:rPr>
                <w:rFonts w:ascii="Times New Roman" w:hAnsi="Times New Roman"/>
                <w:bCs/>
                <w:iCs/>
                <w:sz w:val="20"/>
                <w:szCs w:val="20"/>
              </w:rPr>
            </w:pPr>
            <w:r>
              <w:rPr>
                <w:rFonts w:ascii="Times New Roman" w:hAnsi="Times New Roman"/>
                <w:bCs/>
                <w:iCs/>
                <w:sz w:val="20"/>
                <w:szCs w:val="20"/>
              </w:rPr>
              <w:t>280.04</w:t>
            </w:r>
          </w:p>
        </w:tc>
        <w:tc>
          <w:tcPr>
            <w:tcW w:w="915" w:type="pct"/>
            <w:noWrap/>
            <w:vAlign w:val="bottom"/>
          </w:tcPr>
          <w:p w:rsidR="00907F18" w:rsidRPr="001412D8" w:rsidRDefault="001412D8" w:rsidP="00F158F3">
            <w:pPr>
              <w:jc w:val="center"/>
              <w:rPr>
                <w:rFonts w:ascii="Times New Roman" w:hAnsi="Times New Roman"/>
                <w:bCs/>
                <w:iCs/>
                <w:sz w:val="20"/>
                <w:szCs w:val="20"/>
              </w:rPr>
            </w:pPr>
            <w:r>
              <w:rPr>
                <w:rFonts w:ascii="Times New Roman" w:hAnsi="Times New Roman"/>
                <w:bCs/>
                <w:iCs/>
                <w:sz w:val="20"/>
                <w:szCs w:val="20"/>
              </w:rPr>
              <w:t>397.84</w:t>
            </w:r>
          </w:p>
        </w:tc>
      </w:tr>
      <w:tr w:rsidR="001412D8" w:rsidRPr="001412D8" w:rsidTr="00F158F3">
        <w:trPr>
          <w:trHeight w:val="315"/>
        </w:trPr>
        <w:tc>
          <w:tcPr>
            <w:tcW w:w="1226" w:type="pct"/>
            <w:noWrap/>
            <w:vAlign w:val="bottom"/>
          </w:tcPr>
          <w:p w:rsidR="001412D8" w:rsidRPr="001412D8" w:rsidRDefault="001412D8" w:rsidP="00F158F3">
            <w:pPr>
              <w:jc w:val="center"/>
              <w:rPr>
                <w:rFonts w:ascii="Times New Roman" w:hAnsi="Times New Roman"/>
                <w:b/>
                <w:sz w:val="20"/>
                <w:szCs w:val="20"/>
              </w:rPr>
            </w:pPr>
            <w:r w:rsidRPr="001412D8">
              <w:rPr>
                <w:rFonts w:ascii="Times New Roman" w:hAnsi="Times New Roman"/>
                <w:b/>
                <w:sz w:val="20"/>
                <w:szCs w:val="20"/>
              </w:rPr>
              <w:t>Total</w:t>
            </w:r>
          </w:p>
        </w:tc>
        <w:tc>
          <w:tcPr>
            <w:tcW w:w="1051" w:type="pct"/>
            <w:noWrap/>
            <w:vAlign w:val="bottom"/>
          </w:tcPr>
          <w:p w:rsidR="001412D8" w:rsidRPr="001412D8" w:rsidRDefault="001412D8" w:rsidP="00F158F3">
            <w:pPr>
              <w:jc w:val="center"/>
              <w:rPr>
                <w:rFonts w:ascii="Times New Roman" w:hAnsi="Times New Roman"/>
                <w:b/>
                <w:sz w:val="20"/>
                <w:szCs w:val="20"/>
              </w:rPr>
            </w:pPr>
            <w:r w:rsidRPr="001412D8">
              <w:rPr>
                <w:rFonts w:ascii="Times New Roman" w:hAnsi="Times New Roman"/>
                <w:b/>
                <w:sz w:val="20"/>
                <w:szCs w:val="20"/>
              </w:rPr>
              <w:t>1566.49</w:t>
            </w:r>
          </w:p>
        </w:tc>
        <w:tc>
          <w:tcPr>
            <w:tcW w:w="865" w:type="pct"/>
            <w:noWrap/>
            <w:vAlign w:val="bottom"/>
          </w:tcPr>
          <w:p w:rsidR="001412D8" w:rsidRPr="001412D8" w:rsidRDefault="001412D8" w:rsidP="00F158F3">
            <w:pPr>
              <w:jc w:val="center"/>
              <w:rPr>
                <w:rFonts w:ascii="Times New Roman" w:hAnsi="Times New Roman"/>
                <w:b/>
                <w:sz w:val="20"/>
                <w:szCs w:val="20"/>
              </w:rPr>
            </w:pPr>
            <w:r w:rsidRPr="001412D8">
              <w:rPr>
                <w:rFonts w:ascii="Times New Roman" w:hAnsi="Times New Roman"/>
                <w:b/>
                <w:sz w:val="20"/>
                <w:szCs w:val="20"/>
              </w:rPr>
              <w:t>315.68</w:t>
            </w:r>
          </w:p>
        </w:tc>
        <w:tc>
          <w:tcPr>
            <w:tcW w:w="943" w:type="pct"/>
            <w:noWrap/>
            <w:vAlign w:val="bottom"/>
          </w:tcPr>
          <w:p w:rsidR="001412D8" w:rsidRPr="001412D8" w:rsidRDefault="001412D8" w:rsidP="00F158F3">
            <w:pPr>
              <w:jc w:val="center"/>
              <w:rPr>
                <w:rFonts w:ascii="Times New Roman" w:hAnsi="Times New Roman"/>
                <w:b/>
                <w:sz w:val="20"/>
                <w:szCs w:val="20"/>
              </w:rPr>
            </w:pPr>
            <w:r w:rsidRPr="001412D8">
              <w:rPr>
                <w:rFonts w:ascii="Times New Roman" w:hAnsi="Times New Roman"/>
                <w:b/>
                <w:sz w:val="20"/>
                <w:szCs w:val="20"/>
              </w:rPr>
              <w:t>459.73</w:t>
            </w:r>
          </w:p>
        </w:tc>
        <w:tc>
          <w:tcPr>
            <w:tcW w:w="915" w:type="pct"/>
            <w:noWrap/>
            <w:vAlign w:val="bottom"/>
          </w:tcPr>
          <w:p w:rsidR="001412D8" w:rsidRPr="001412D8" w:rsidRDefault="001412D8" w:rsidP="00F158F3">
            <w:pPr>
              <w:jc w:val="center"/>
              <w:rPr>
                <w:rFonts w:ascii="Times New Roman" w:hAnsi="Times New Roman"/>
                <w:b/>
                <w:sz w:val="20"/>
                <w:szCs w:val="20"/>
              </w:rPr>
            </w:pPr>
            <w:r w:rsidRPr="001412D8">
              <w:rPr>
                <w:rFonts w:ascii="Times New Roman" w:hAnsi="Times New Roman"/>
                <w:b/>
                <w:sz w:val="20"/>
                <w:szCs w:val="20"/>
              </w:rPr>
              <w:t>600.02</w:t>
            </w:r>
          </w:p>
        </w:tc>
      </w:tr>
      <w:tr w:rsidR="00566B6E" w:rsidRPr="001412D8" w:rsidTr="00F158F3">
        <w:trPr>
          <w:trHeight w:val="315"/>
        </w:trPr>
        <w:tc>
          <w:tcPr>
            <w:tcW w:w="5000" w:type="pct"/>
            <w:gridSpan w:val="5"/>
            <w:noWrap/>
            <w:vAlign w:val="bottom"/>
          </w:tcPr>
          <w:p w:rsidR="00566B6E" w:rsidRPr="001412D8" w:rsidRDefault="00566B6E" w:rsidP="00F158F3">
            <w:pPr>
              <w:jc w:val="center"/>
              <w:rPr>
                <w:rFonts w:ascii="Times New Roman" w:hAnsi="Times New Roman"/>
                <w:b/>
                <w:sz w:val="20"/>
                <w:szCs w:val="20"/>
              </w:rPr>
            </w:pPr>
            <w:r>
              <w:rPr>
                <w:rFonts w:ascii="Times New Roman" w:hAnsi="Times New Roman"/>
                <w:b/>
                <w:bCs/>
                <w:iCs/>
                <w:sz w:val="20"/>
                <w:szCs w:val="20"/>
              </w:rPr>
              <w:t>201</w:t>
            </w:r>
            <w:r w:rsidR="000C5AF3">
              <w:rPr>
                <w:rFonts w:ascii="Times New Roman" w:hAnsi="Times New Roman"/>
                <w:b/>
                <w:bCs/>
                <w:iCs/>
                <w:sz w:val="20"/>
                <w:szCs w:val="20"/>
              </w:rPr>
              <w:t>9</w:t>
            </w:r>
            <w:r>
              <w:rPr>
                <w:rFonts w:ascii="Times New Roman" w:hAnsi="Times New Roman"/>
                <w:b/>
                <w:bCs/>
                <w:iCs/>
                <w:sz w:val="20"/>
                <w:szCs w:val="20"/>
              </w:rPr>
              <w:t>-</w:t>
            </w:r>
            <w:r w:rsidR="000C5AF3">
              <w:rPr>
                <w:rFonts w:ascii="Times New Roman" w:hAnsi="Times New Roman"/>
                <w:b/>
                <w:bCs/>
                <w:iCs/>
                <w:sz w:val="20"/>
                <w:szCs w:val="20"/>
              </w:rPr>
              <w:t>20</w:t>
            </w:r>
          </w:p>
        </w:tc>
      </w:tr>
      <w:tr w:rsidR="00566B6E" w:rsidRPr="001412D8" w:rsidTr="00F158F3">
        <w:trPr>
          <w:trHeight w:val="315"/>
        </w:trPr>
        <w:tc>
          <w:tcPr>
            <w:tcW w:w="1226" w:type="pct"/>
            <w:noWrap/>
            <w:vAlign w:val="bottom"/>
          </w:tcPr>
          <w:p w:rsidR="00566B6E" w:rsidRPr="00EC1178" w:rsidRDefault="00566B6E" w:rsidP="00F158F3">
            <w:pPr>
              <w:jc w:val="center"/>
            </w:pPr>
            <w:r w:rsidRPr="00566B6E">
              <w:rPr>
                <w:rFonts w:ascii="Times New Roman" w:hAnsi="Times New Roman"/>
                <w:sz w:val="20"/>
                <w:szCs w:val="20"/>
              </w:rPr>
              <w:t>Plan Central Sector</w:t>
            </w:r>
          </w:p>
        </w:tc>
        <w:tc>
          <w:tcPr>
            <w:tcW w:w="1051" w:type="pct"/>
            <w:noWrap/>
            <w:vAlign w:val="bottom"/>
          </w:tcPr>
          <w:p w:rsidR="00566B6E" w:rsidRPr="000C5AF3" w:rsidRDefault="000C5AF3" w:rsidP="00F158F3">
            <w:pPr>
              <w:jc w:val="center"/>
              <w:rPr>
                <w:rFonts w:ascii="Times New Roman" w:hAnsi="Times New Roman"/>
                <w:sz w:val="20"/>
                <w:szCs w:val="20"/>
              </w:rPr>
            </w:pPr>
            <w:r w:rsidRPr="000C5AF3">
              <w:rPr>
                <w:rFonts w:ascii="Times New Roman" w:hAnsi="Times New Roman"/>
                <w:sz w:val="20"/>
                <w:szCs w:val="20"/>
              </w:rPr>
              <w:t>307.73</w:t>
            </w:r>
          </w:p>
        </w:tc>
        <w:tc>
          <w:tcPr>
            <w:tcW w:w="865" w:type="pct"/>
            <w:noWrap/>
            <w:vAlign w:val="bottom"/>
          </w:tcPr>
          <w:p w:rsidR="00566B6E" w:rsidRPr="000C5AF3" w:rsidRDefault="000C5AF3" w:rsidP="00F158F3">
            <w:pPr>
              <w:jc w:val="center"/>
              <w:rPr>
                <w:rFonts w:ascii="Times New Roman" w:hAnsi="Times New Roman"/>
                <w:sz w:val="20"/>
                <w:szCs w:val="20"/>
              </w:rPr>
            </w:pPr>
            <w:r>
              <w:rPr>
                <w:rFonts w:ascii="Times New Roman" w:hAnsi="Times New Roman"/>
                <w:sz w:val="20"/>
                <w:szCs w:val="20"/>
              </w:rPr>
              <w:t>22.46</w:t>
            </w:r>
          </w:p>
        </w:tc>
        <w:tc>
          <w:tcPr>
            <w:tcW w:w="943" w:type="pct"/>
            <w:noWrap/>
            <w:vAlign w:val="bottom"/>
          </w:tcPr>
          <w:p w:rsidR="00566B6E" w:rsidRPr="000C5AF3" w:rsidRDefault="00C52C51" w:rsidP="00F158F3">
            <w:pPr>
              <w:jc w:val="center"/>
              <w:rPr>
                <w:rFonts w:ascii="Times New Roman" w:hAnsi="Times New Roman"/>
                <w:sz w:val="20"/>
                <w:szCs w:val="20"/>
              </w:rPr>
            </w:pPr>
            <w:r>
              <w:rPr>
                <w:rFonts w:ascii="Times New Roman" w:hAnsi="Times New Roman"/>
                <w:sz w:val="20"/>
                <w:szCs w:val="20"/>
              </w:rPr>
              <w:t>90.99</w:t>
            </w:r>
          </w:p>
        </w:tc>
        <w:tc>
          <w:tcPr>
            <w:tcW w:w="915" w:type="pct"/>
            <w:noWrap/>
            <w:vAlign w:val="bottom"/>
          </w:tcPr>
          <w:p w:rsidR="00566B6E" w:rsidRPr="000C5AF3" w:rsidRDefault="00C52C51" w:rsidP="00F158F3">
            <w:pPr>
              <w:jc w:val="center"/>
              <w:rPr>
                <w:rFonts w:ascii="Times New Roman" w:hAnsi="Times New Roman"/>
                <w:sz w:val="20"/>
                <w:szCs w:val="20"/>
              </w:rPr>
            </w:pPr>
            <w:r>
              <w:rPr>
                <w:rFonts w:ascii="Times New Roman" w:hAnsi="Times New Roman"/>
                <w:sz w:val="20"/>
                <w:szCs w:val="20"/>
              </w:rPr>
              <w:t>141.02</w:t>
            </w:r>
          </w:p>
        </w:tc>
      </w:tr>
      <w:tr w:rsidR="00566B6E" w:rsidRPr="001412D8" w:rsidTr="00F158F3">
        <w:trPr>
          <w:trHeight w:val="315"/>
        </w:trPr>
        <w:tc>
          <w:tcPr>
            <w:tcW w:w="1226" w:type="pct"/>
            <w:noWrap/>
            <w:vAlign w:val="bottom"/>
          </w:tcPr>
          <w:p w:rsidR="00566B6E" w:rsidRPr="00EC1178" w:rsidRDefault="00566B6E" w:rsidP="00F158F3">
            <w:pPr>
              <w:jc w:val="center"/>
            </w:pPr>
            <w:r w:rsidRPr="00566B6E">
              <w:rPr>
                <w:rFonts w:ascii="Times New Roman" w:hAnsi="Times New Roman"/>
                <w:sz w:val="20"/>
                <w:szCs w:val="20"/>
              </w:rPr>
              <w:t>CSS</w:t>
            </w:r>
          </w:p>
        </w:tc>
        <w:tc>
          <w:tcPr>
            <w:tcW w:w="1051" w:type="pct"/>
            <w:noWrap/>
            <w:vAlign w:val="bottom"/>
          </w:tcPr>
          <w:p w:rsidR="00566B6E" w:rsidRPr="000C5AF3" w:rsidRDefault="000C5AF3" w:rsidP="00F158F3">
            <w:pPr>
              <w:jc w:val="center"/>
              <w:rPr>
                <w:rFonts w:ascii="Times New Roman" w:hAnsi="Times New Roman"/>
                <w:sz w:val="20"/>
                <w:szCs w:val="20"/>
              </w:rPr>
            </w:pPr>
            <w:r>
              <w:rPr>
                <w:rFonts w:ascii="Times New Roman" w:hAnsi="Times New Roman"/>
                <w:sz w:val="20"/>
                <w:szCs w:val="20"/>
              </w:rPr>
              <w:t>616.47</w:t>
            </w:r>
          </w:p>
        </w:tc>
        <w:tc>
          <w:tcPr>
            <w:tcW w:w="865" w:type="pct"/>
            <w:noWrap/>
            <w:vAlign w:val="bottom"/>
          </w:tcPr>
          <w:p w:rsidR="00566B6E" w:rsidRPr="000C5AF3" w:rsidRDefault="000C5AF3" w:rsidP="00F158F3">
            <w:pPr>
              <w:jc w:val="center"/>
              <w:rPr>
                <w:rFonts w:ascii="Times New Roman" w:hAnsi="Times New Roman"/>
                <w:sz w:val="20"/>
                <w:szCs w:val="20"/>
              </w:rPr>
            </w:pPr>
            <w:r>
              <w:rPr>
                <w:rFonts w:ascii="Times New Roman" w:hAnsi="Times New Roman"/>
                <w:sz w:val="20"/>
                <w:szCs w:val="20"/>
              </w:rPr>
              <w:t>101.76</w:t>
            </w:r>
          </w:p>
        </w:tc>
        <w:tc>
          <w:tcPr>
            <w:tcW w:w="943" w:type="pct"/>
            <w:noWrap/>
            <w:vAlign w:val="bottom"/>
          </w:tcPr>
          <w:p w:rsidR="00566B6E" w:rsidRPr="000C5AF3" w:rsidRDefault="00C52C51" w:rsidP="00F158F3">
            <w:pPr>
              <w:jc w:val="center"/>
              <w:rPr>
                <w:rFonts w:ascii="Times New Roman" w:hAnsi="Times New Roman"/>
                <w:sz w:val="20"/>
                <w:szCs w:val="20"/>
              </w:rPr>
            </w:pPr>
            <w:r>
              <w:rPr>
                <w:rFonts w:ascii="Times New Roman" w:hAnsi="Times New Roman"/>
                <w:sz w:val="20"/>
                <w:szCs w:val="20"/>
              </w:rPr>
              <w:t>259.72</w:t>
            </w:r>
          </w:p>
        </w:tc>
        <w:tc>
          <w:tcPr>
            <w:tcW w:w="915" w:type="pct"/>
            <w:noWrap/>
            <w:vAlign w:val="bottom"/>
          </w:tcPr>
          <w:p w:rsidR="00566B6E" w:rsidRPr="000C5AF3" w:rsidRDefault="00C52C51" w:rsidP="00F158F3">
            <w:pPr>
              <w:jc w:val="center"/>
              <w:rPr>
                <w:rFonts w:ascii="Times New Roman" w:hAnsi="Times New Roman"/>
                <w:sz w:val="20"/>
                <w:szCs w:val="20"/>
              </w:rPr>
            </w:pPr>
            <w:r>
              <w:rPr>
                <w:rFonts w:ascii="Times New Roman" w:hAnsi="Times New Roman"/>
                <w:sz w:val="20"/>
                <w:szCs w:val="20"/>
              </w:rPr>
              <w:t>376.89</w:t>
            </w:r>
          </w:p>
        </w:tc>
      </w:tr>
      <w:tr w:rsidR="00566B6E" w:rsidRPr="001412D8" w:rsidTr="00F158F3">
        <w:trPr>
          <w:trHeight w:val="315"/>
        </w:trPr>
        <w:tc>
          <w:tcPr>
            <w:tcW w:w="1226" w:type="pct"/>
            <w:noWrap/>
            <w:vAlign w:val="bottom"/>
          </w:tcPr>
          <w:p w:rsidR="00566B6E" w:rsidRDefault="00566B6E" w:rsidP="00F158F3">
            <w:pPr>
              <w:jc w:val="center"/>
            </w:pPr>
            <w:r w:rsidRPr="00566B6E">
              <w:rPr>
                <w:rFonts w:ascii="Times New Roman" w:hAnsi="Times New Roman"/>
                <w:sz w:val="20"/>
                <w:szCs w:val="20"/>
              </w:rPr>
              <w:t>Total</w:t>
            </w:r>
          </w:p>
        </w:tc>
        <w:tc>
          <w:tcPr>
            <w:tcW w:w="1051" w:type="pct"/>
            <w:noWrap/>
            <w:vAlign w:val="bottom"/>
          </w:tcPr>
          <w:p w:rsidR="00566B6E" w:rsidRPr="001412D8" w:rsidRDefault="000C5AF3" w:rsidP="00F158F3">
            <w:pPr>
              <w:jc w:val="center"/>
              <w:rPr>
                <w:rFonts w:ascii="Times New Roman" w:hAnsi="Times New Roman"/>
                <w:b/>
                <w:sz w:val="20"/>
                <w:szCs w:val="20"/>
              </w:rPr>
            </w:pPr>
            <w:r>
              <w:rPr>
                <w:rFonts w:ascii="Times New Roman" w:hAnsi="Times New Roman"/>
                <w:b/>
                <w:sz w:val="20"/>
                <w:szCs w:val="20"/>
              </w:rPr>
              <w:t>924.20</w:t>
            </w:r>
          </w:p>
        </w:tc>
        <w:tc>
          <w:tcPr>
            <w:tcW w:w="865" w:type="pct"/>
            <w:noWrap/>
            <w:vAlign w:val="bottom"/>
          </w:tcPr>
          <w:p w:rsidR="00566B6E" w:rsidRPr="001412D8" w:rsidRDefault="00C52C51" w:rsidP="00F158F3">
            <w:pPr>
              <w:jc w:val="center"/>
              <w:rPr>
                <w:rFonts w:ascii="Times New Roman" w:hAnsi="Times New Roman"/>
                <w:b/>
                <w:sz w:val="20"/>
                <w:szCs w:val="20"/>
              </w:rPr>
            </w:pPr>
            <w:r>
              <w:rPr>
                <w:rFonts w:ascii="Times New Roman" w:hAnsi="Times New Roman"/>
                <w:b/>
                <w:sz w:val="20"/>
                <w:szCs w:val="20"/>
              </w:rPr>
              <w:t>124.22</w:t>
            </w:r>
          </w:p>
        </w:tc>
        <w:tc>
          <w:tcPr>
            <w:tcW w:w="943" w:type="pct"/>
            <w:noWrap/>
            <w:vAlign w:val="bottom"/>
          </w:tcPr>
          <w:p w:rsidR="00566B6E" w:rsidRPr="001412D8" w:rsidRDefault="00C52C51" w:rsidP="00F158F3">
            <w:pPr>
              <w:jc w:val="center"/>
              <w:rPr>
                <w:rFonts w:ascii="Times New Roman" w:hAnsi="Times New Roman"/>
                <w:b/>
                <w:sz w:val="20"/>
                <w:szCs w:val="20"/>
              </w:rPr>
            </w:pPr>
            <w:r>
              <w:rPr>
                <w:rFonts w:ascii="Times New Roman" w:hAnsi="Times New Roman"/>
                <w:b/>
                <w:sz w:val="20"/>
                <w:szCs w:val="20"/>
              </w:rPr>
              <w:t>350.71</w:t>
            </w:r>
          </w:p>
        </w:tc>
        <w:tc>
          <w:tcPr>
            <w:tcW w:w="915" w:type="pct"/>
            <w:noWrap/>
            <w:vAlign w:val="bottom"/>
          </w:tcPr>
          <w:p w:rsidR="00566B6E" w:rsidRPr="001412D8" w:rsidRDefault="00C52C51" w:rsidP="00F158F3">
            <w:pPr>
              <w:jc w:val="center"/>
              <w:rPr>
                <w:rFonts w:ascii="Times New Roman" w:hAnsi="Times New Roman"/>
                <w:b/>
                <w:sz w:val="20"/>
                <w:szCs w:val="20"/>
              </w:rPr>
            </w:pPr>
            <w:r>
              <w:rPr>
                <w:rFonts w:ascii="Times New Roman" w:hAnsi="Times New Roman"/>
                <w:b/>
                <w:sz w:val="20"/>
                <w:szCs w:val="20"/>
              </w:rPr>
              <w:t>517.91</w:t>
            </w:r>
          </w:p>
        </w:tc>
      </w:tr>
    </w:tbl>
    <w:p w:rsidR="00077BAE" w:rsidRPr="001412D8" w:rsidRDefault="00077BAE" w:rsidP="001412D8">
      <w:pPr>
        <w:spacing w:after="0" w:line="360" w:lineRule="auto"/>
        <w:jc w:val="center"/>
        <w:rPr>
          <w:rFonts w:ascii="Times New Roman" w:hAnsi="Times New Roman"/>
          <w:sz w:val="20"/>
          <w:szCs w:val="20"/>
        </w:rPr>
      </w:pPr>
    </w:p>
    <w:p w:rsidR="00AF3A50" w:rsidRDefault="00FB5253" w:rsidP="00AF3A50">
      <w:pPr>
        <w:spacing w:after="0" w:line="360" w:lineRule="auto"/>
        <w:jc w:val="both"/>
        <w:rPr>
          <w:rFonts w:ascii="Times New Roman" w:hAnsi="Times New Roman"/>
          <w:sz w:val="24"/>
          <w:szCs w:val="24"/>
        </w:rPr>
      </w:pPr>
      <w:r>
        <w:rPr>
          <w:rFonts w:ascii="Times New Roman" w:hAnsi="Times New Roman"/>
          <w:sz w:val="24"/>
          <w:szCs w:val="24"/>
        </w:rPr>
        <w:t xml:space="preserve">Projecting central grants for various programs in anticipation has resulted in biased view of resources. </w:t>
      </w:r>
      <w:r w:rsidR="00AF3A50">
        <w:rPr>
          <w:rFonts w:ascii="Times New Roman" w:hAnsi="Times New Roman"/>
          <w:sz w:val="24"/>
          <w:szCs w:val="24"/>
        </w:rPr>
        <w:t>The</w:t>
      </w:r>
      <w:r>
        <w:rPr>
          <w:rFonts w:ascii="Times New Roman" w:hAnsi="Times New Roman"/>
          <w:sz w:val="24"/>
          <w:szCs w:val="24"/>
        </w:rPr>
        <w:t xml:space="preserve">re is </w:t>
      </w:r>
      <w:r w:rsidR="00E84BFF">
        <w:rPr>
          <w:rFonts w:ascii="Times New Roman" w:hAnsi="Times New Roman"/>
          <w:sz w:val="24"/>
          <w:szCs w:val="24"/>
        </w:rPr>
        <w:t xml:space="preserve">a </w:t>
      </w:r>
      <w:r>
        <w:rPr>
          <w:rFonts w:ascii="Times New Roman" w:hAnsi="Times New Roman"/>
          <w:sz w:val="24"/>
          <w:szCs w:val="24"/>
        </w:rPr>
        <w:t xml:space="preserve">need to </w:t>
      </w:r>
      <w:r w:rsidR="00E84BFF">
        <w:rPr>
          <w:rFonts w:ascii="Times New Roman" w:hAnsi="Times New Roman"/>
          <w:sz w:val="24"/>
          <w:szCs w:val="24"/>
        </w:rPr>
        <w:t xml:space="preserve">take </w:t>
      </w:r>
      <w:r w:rsidR="00AF3A50">
        <w:rPr>
          <w:rFonts w:ascii="Times New Roman" w:hAnsi="Times New Roman"/>
          <w:sz w:val="24"/>
          <w:szCs w:val="24"/>
        </w:rPr>
        <w:t xml:space="preserve">realistic </w:t>
      </w:r>
      <w:r w:rsidR="00E84BFF">
        <w:rPr>
          <w:rFonts w:ascii="Times New Roman" w:hAnsi="Times New Roman"/>
          <w:sz w:val="24"/>
          <w:szCs w:val="24"/>
        </w:rPr>
        <w:t xml:space="preserve">perception </w:t>
      </w:r>
      <w:r w:rsidR="00AF3A50">
        <w:rPr>
          <w:rFonts w:ascii="Times New Roman" w:hAnsi="Times New Roman"/>
          <w:sz w:val="24"/>
          <w:szCs w:val="24"/>
        </w:rPr>
        <w:t>of central program funds and prepare the budget accordingly. Otherwise, it will be construed as a</w:t>
      </w:r>
      <w:r w:rsidR="00E84BFF">
        <w:rPr>
          <w:rFonts w:ascii="Times New Roman" w:hAnsi="Times New Roman"/>
          <w:sz w:val="24"/>
          <w:szCs w:val="24"/>
        </w:rPr>
        <w:t xml:space="preserve">n overestimation </w:t>
      </w:r>
      <w:r w:rsidR="00AF3A50">
        <w:rPr>
          <w:rFonts w:ascii="Times New Roman" w:hAnsi="Times New Roman"/>
          <w:sz w:val="24"/>
          <w:szCs w:val="24"/>
        </w:rPr>
        <w:t xml:space="preserve">of revenues to accommodate ever-increasing budget size. </w:t>
      </w:r>
      <w:r w:rsidR="00AF3A50" w:rsidRPr="006F06D9">
        <w:rPr>
          <w:rFonts w:ascii="Times New Roman" w:hAnsi="Times New Roman"/>
          <w:sz w:val="24"/>
          <w:szCs w:val="24"/>
        </w:rPr>
        <w:t xml:space="preserve">The </w:t>
      </w:r>
      <w:r w:rsidR="00CF3B4C">
        <w:rPr>
          <w:rFonts w:ascii="Times New Roman" w:hAnsi="Times New Roman"/>
          <w:sz w:val="24"/>
          <w:szCs w:val="24"/>
        </w:rPr>
        <w:t>s</w:t>
      </w:r>
      <w:r w:rsidR="00AF3A50" w:rsidRPr="006F06D9">
        <w:rPr>
          <w:rFonts w:ascii="Times New Roman" w:hAnsi="Times New Roman"/>
          <w:sz w:val="24"/>
          <w:szCs w:val="24"/>
        </w:rPr>
        <w:t xml:space="preserve">tate </w:t>
      </w:r>
      <w:r w:rsidR="00CF3B4C">
        <w:rPr>
          <w:rFonts w:ascii="Times New Roman" w:hAnsi="Times New Roman"/>
          <w:sz w:val="24"/>
          <w:szCs w:val="24"/>
        </w:rPr>
        <w:t>g</w:t>
      </w:r>
      <w:r w:rsidR="00AF3A50" w:rsidRPr="006F06D9">
        <w:rPr>
          <w:rFonts w:ascii="Times New Roman" w:hAnsi="Times New Roman"/>
          <w:sz w:val="24"/>
          <w:szCs w:val="24"/>
        </w:rPr>
        <w:t>overnment has to address capacity constraint to undertake infrastructure building</w:t>
      </w:r>
      <w:r w:rsidR="00AF3A50">
        <w:rPr>
          <w:rFonts w:ascii="Times New Roman" w:hAnsi="Times New Roman"/>
          <w:sz w:val="24"/>
          <w:szCs w:val="24"/>
        </w:rPr>
        <w:t>.</w:t>
      </w:r>
      <w:r w:rsidR="00AF3A50" w:rsidRPr="006F06D9">
        <w:rPr>
          <w:rFonts w:ascii="Times New Roman" w:hAnsi="Times New Roman"/>
          <w:sz w:val="24"/>
          <w:szCs w:val="24"/>
        </w:rPr>
        <w:t xml:space="preserve"> </w:t>
      </w:r>
      <w:r w:rsidR="00AF3A50">
        <w:rPr>
          <w:rFonts w:ascii="Times New Roman" w:hAnsi="Times New Roman"/>
          <w:sz w:val="24"/>
          <w:szCs w:val="24"/>
        </w:rPr>
        <w:t>Enhancing t</w:t>
      </w:r>
      <w:r w:rsidR="00AF3A50" w:rsidRPr="006F06D9">
        <w:rPr>
          <w:rFonts w:ascii="Times New Roman" w:hAnsi="Times New Roman"/>
          <w:sz w:val="24"/>
          <w:szCs w:val="24"/>
        </w:rPr>
        <w:t xml:space="preserve">he capacity to conceptualize projects and implement them properly and </w:t>
      </w:r>
      <w:r w:rsidR="00AF3A50">
        <w:rPr>
          <w:rFonts w:ascii="Times New Roman" w:hAnsi="Times New Roman"/>
          <w:sz w:val="24"/>
          <w:szCs w:val="24"/>
        </w:rPr>
        <w:t xml:space="preserve">removing </w:t>
      </w:r>
      <w:r w:rsidR="00AF3A50" w:rsidRPr="006F06D9">
        <w:rPr>
          <w:rFonts w:ascii="Times New Roman" w:hAnsi="Times New Roman"/>
          <w:sz w:val="24"/>
          <w:szCs w:val="24"/>
        </w:rPr>
        <w:t xml:space="preserve">ground level bottlenecks in the implementation process </w:t>
      </w:r>
      <w:r w:rsidR="00AF3A50">
        <w:rPr>
          <w:rFonts w:ascii="Times New Roman" w:hAnsi="Times New Roman"/>
          <w:sz w:val="24"/>
          <w:szCs w:val="24"/>
        </w:rPr>
        <w:t>are important issues that needs to be addressed.</w:t>
      </w:r>
      <w:r w:rsidR="00AF3A50" w:rsidRPr="006F06D9">
        <w:rPr>
          <w:rFonts w:ascii="Times New Roman" w:hAnsi="Times New Roman"/>
          <w:sz w:val="24"/>
          <w:szCs w:val="24"/>
        </w:rPr>
        <w:t xml:space="preserve"> </w:t>
      </w:r>
      <w:r w:rsidR="00AF3A50">
        <w:rPr>
          <w:rFonts w:ascii="Times New Roman" w:hAnsi="Times New Roman"/>
          <w:sz w:val="24"/>
          <w:szCs w:val="24"/>
        </w:rPr>
        <w:t xml:space="preserve">The structural issues </w:t>
      </w:r>
      <w:r w:rsidR="00AF3A50">
        <w:rPr>
          <w:rFonts w:ascii="Times New Roman" w:hAnsi="Times New Roman"/>
          <w:sz w:val="24"/>
          <w:szCs w:val="24"/>
        </w:rPr>
        <w:lastRenderedPageBreak/>
        <w:t xml:space="preserve">like </w:t>
      </w:r>
      <w:r w:rsidR="00AF3A50" w:rsidRPr="006F06D9">
        <w:rPr>
          <w:rFonts w:ascii="Times New Roman" w:hAnsi="Times New Roman"/>
          <w:sz w:val="24"/>
          <w:szCs w:val="24"/>
        </w:rPr>
        <w:t xml:space="preserve">acquiring land, </w:t>
      </w:r>
      <w:r w:rsidR="00AF3A50">
        <w:rPr>
          <w:rFonts w:ascii="Times New Roman" w:hAnsi="Times New Roman"/>
          <w:sz w:val="24"/>
          <w:szCs w:val="24"/>
        </w:rPr>
        <w:t xml:space="preserve">improving </w:t>
      </w:r>
      <w:r w:rsidR="00AF3A50" w:rsidRPr="006F06D9">
        <w:rPr>
          <w:rFonts w:ascii="Times New Roman" w:hAnsi="Times New Roman"/>
          <w:sz w:val="24"/>
          <w:szCs w:val="24"/>
        </w:rPr>
        <w:t xml:space="preserve">coordination among departments, </w:t>
      </w:r>
      <w:r w:rsidR="00AF3A50">
        <w:rPr>
          <w:rFonts w:ascii="Times New Roman" w:hAnsi="Times New Roman"/>
          <w:sz w:val="24"/>
          <w:szCs w:val="24"/>
        </w:rPr>
        <w:t xml:space="preserve">improving efficiency </w:t>
      </w:r>
      <w:r w:rsidR="00AF3A50" w:rsidRPr="006F06D9">
        <w:rPr>
          <w:rFonts w:ascii="Times New Roman" w:hAnsi="Times New Roman"/>
          <w:sz w:val="24"/>
          <w:szCs w:val="24"/>
        </w:rPr>
        <w:t>in project management</w:t>
      </w:r>
      <w:r w:rsidR="00AF3A50">
        <w:rPr>
          <w:rFonts w:ascii="Times New Roman" w:hAnsi="Times New Roman"/>
          <w:sz w:val="24"/>
          <w:szCs w:val="24"/>
        </w:rPr>
        <w:t xml:space="preserve"> should get attention.</w:t>
      </w:r>
      <w:r w:rsidR="00AF3A50" w:rsidRPr="006F06D9">
        <w:rPr>
          <w:rFonts w:ascii="Times New Roman" w:hAnsi="Times New Roman"/>
          <w:sz w:val="24"/>
          <w:szCs w:val="24"/>
        </w:rPr>
        <w:t xml:space="preserve"> It is important </w:t>
      </w:r>
      <w:r w:rsidR="00AF3A50">
        <w:rPr>
          <w:rFonts w:ascii="Times New Roman" w:hAnsi="Times New Roman"/>
          <w:sz w:val="24"/>
          <w:szCs w:val="24"/>
        </w:rPr>
        <w:t>for the</w:t>
      </w:r>
      <w:r w:rsidR="00AF3A50" w:rsidRPr="006F06D9">
        <w:rPr>
          <w:rFonts w:ascii="Times New Roman" w:hAnsi="Times New Roman"/>
          <w:sz w:val="24"/>
          <w:szCs w:val="24"/>
        </w:rPr>
        <w:t xml:space="preserve"> State Government </w:t>
      </w:r>
      <w:r w:rsidR="00AF3A50">
        <w:rPr>
          <w:rFonts w:ascii="Times New Roman" w:hAnsi="Times New Roman"/>
          <w:sz w:val="24"/>
          <w:szCs w:val="24"/>
        </w:rPr>
        <w:t>to improve</w:t>
      </w:r>
      <w:r w:rsidR="00AF3A50" w:rsidRPr="006F06D9">
        <w:rPr>
          <w:rFonts w:ascii="Times New Roman" w:hAnsi="Times New Roman"/>
          <w:sz w:val="24"/>
          <w:szCs w:val="24"/>
        </w:rPr>
        <w:t xml:space="preserve"> coordinat</w:t>
      </w:r>
      <w:r w:rsidR="00AF3A50">
        <w:rPr>
          <w:rFonts w:ascii="Times New Roman" w:hAnsi="Times New Roman"/>
          <w:sz w:val="24"/>
          <w:szCs w:val="24"/>
        </w:rPr>
        <w:t xml:space="preserve">ion </w:t>
      </w:r>
      <w:r w:rsidR="00AF3A50" w:rsidRPr="006F06D9">
        <w:rPr>
          <w:rFonts w:ascii="Times New Roman" w:hAnsi="Times New Roman"/>
          <w:sz w:val="24"/>
          <w:szCs w:val="24"/>
        </w:rPr>
        <w:t xml:space="preserve">with the </w:t>
      </w:r>
      <w:r w:rsidR="00AF3A50">
        <w:rPr>
          <w:rFonts w:ascii="Times New Roman" w:hAnsi="Times New Roman"/>
          <w:sz w:val="24"/>
          <w:szCs w:val="24"/>
        </w:rPr>
        <w:t>C</w:t>
      </w:r>
      <w:r w:rsidR="00AF3A50" w:rsidRPr="006F06D9">
        <w:rPr>
          <w:rFonts w:ascii="Times New Roman" w:hAnsi="Times New Roman"/>
          <w:sz w:val="24"/>
          <w:szCs w:val="24"/>
        </w:rPr>
        <w:t xml:space="preserve">entral Government for better fund flow system to enable </w:t>
      </w:r>
      <w:r w:rsidR="00AF3A50">
        <w:rPr>
          <w:rFonts w:ascii="Times New Roman" w:hAnsi="Times New Roman"/>
          <w:sz w:val="24"/>
          <w:szCs w:val="24"/>
        </w:rPr>
        <w:t xml:space="preserve">timely availability of funds for programs. </w:t>
      </w:r>
    </w:p>
    <w:p w:rsidR="00AF3A50" w:rsidRDefault="00AF3A50" w:rsidP="00AF3A50">
      <w:pPr>
        <w:spacing w:after="0" w:line="360" w:lineRule="auto"/>
        <w:jc w:val="both"/>
        <w:rPr>
          <w:rFonts w:ascii="Times New Roman" w:hAnsi="Times New Roman"/>
          <w:sz w:val="24"/>
          <w:szCs w:val="24"/>
        </w:rPr>
      </w:pPr>
    </w:p>
    <w:p w:rsidR="00F158F3" w:rsidRDefault="00F158F3">
      <w:pPr>
        <w:rPr>
          <w:rFonts w:ascii="Times New Roman" w:hAnsi="Times New Roman"/>
          <w:sz w:val="24"/>
          <w:szCs w:val="24"/>
        </w:rPr>
      </w:pPr>
      <w:r>
        <w:rPr>
          <w:rFonts w:ascii="Times New Roman" w:hAnsi="Times New Roman"/>
          <w:sz w:val="24"/>
          <w:szCs w:val="24"/>
        </w:rPr>
        <w:br w:type="page"/>
      </w:r>
    </w:p>
    <w:p w:rsidR="00CF3B4C" w:rsidRPr="00ED6302" w:rsidRDefault="00CF3B4C" w:rsidP="00F158F3">
      <w:pPr>
        <w:pStyle w:val="ListParagraph"/>
        <w:numPr>
          <w:ilvl w:val="0"/>
          <w:numId w:val="10"/>
        </w:numPr>
        <w:spacing w:after="0" w:line="240" w:lineRule="auto"/>
        <w:jc w:val="center"/>
        <w:rPr>
          <w:rFonts w:ascii="Times New Roman" w:eastAsiaTheme="majorEastAsia" w:hAnsi="Times New Roman"/>
          <w:b/>
          <w:bCs/>
          <w:spacing w:val="-10"/>
          <w:kern w:val="28"/>
          <w:sz w:val="48"/>
          <w:szCs w:val="48"/>
        </w:rPr>
      </w:pPr>
      <w:r w:rsidRPr="00ED6302">
        <w:rPr>
          <w:rFonts w:ascii="Times New Roman" w:eastAsiaTheme="majorEastAsia" w:hAnsi="Times New Roman"/>
          <w:b/>
          <w:bCs/>
          <w:spacing w:val="-10"/>
          <w:kern w:val="28"/>
          <w:sz w:val="48"/>
          <w:szCs w:val="48"/>
        </w:rPr>
        <w:lastRenderedPageBreak/>
        <w:t>Concluding Remarks</w:t>
      </w:r>
    </w:p>
    <w:p w:rsidR="002F1671" w:rsidRDefault="002F1671" w:rsidP="002F1671">
      <w:pPr>
        <w:spacing w:after="0" w:line="360" w:lineRule="auto"/>
        <w:jc w:val="both"/>
        <w:rPr>
          <w:rFonts w:ascii="Times New Roman" w:eastAsia="Times New Roman" w:hAnsi="Times New Roman"/>
          <w:sz w:val="24"/>
          <w:szCs w:val="24"/>
        </w:rPr>
      </w:pPr>
    </w:p>
    <w:p w:rsidR="00677D60" w:rsidRDefault="00CB4918" w:rsidP="004E35C3">
      <w:pPr>
        <w:spacing w:line="360" w:lineRule="auto"/>
        <w:jc w:val="both"/>
        <w:rPr>
          <w:rFonts w:ascii="Times New Roman" w:hAnsi="Times New Roman"/>
          <w:sz w:val="24"/>
          <w:szCs w:val="24"/>
        </w:rPr>
      </w:pPr>
      <w:r>
        <w:rPr>
          <w:rFonts w:ascii="Times New Roman" w:hAnsi="Times New Roman"/>
          <w:sz w:val="24"/>
          <w:szCs w:val="24"/>
        </w:rPr>
        <w:t xml:space="preserve">The state government faced highly stressed situation in the fiscal year 2019-20.  The revenue receipts declined by 18.91 percent over the previous year. The government managed to generate 34.55 percent less than what they budgeted for </w:t>
      </w:r>
      <w:r w:rsidR="0007756C">
        <w:rPr>
          <w:rFonts w:ascii="Times New Roman" w:hAnsi="Times New Roman"/>
          <w:sz w:val="24"/>
          <w:szCs w:val="24"/>
        </w:rPr>
        <w:t xml:space="preserve">in the fiscal year. </w:t>
      </w:r>
      <w:r>
        <w:rPr>
          <w:rFonts w:ascii="Times New Roman" w:hAnsi="Times New Roman"/>
          <w:sz w:val="24"/>
          <w:szCs w:val="24"/>
        </w:rPr>
        <w:t xml:space="preserve">The central transfers taking both tax devolution and the grants </w:t>
      </w:r>
      <w:r w:rsidR="00225A0B">
        <w:rPr>
          <w:rFonts w:ascii="Times New Roman" w:hAnsi="Times New Roman"/>
          <w:sz w:val="24"/>
          <w:szCs w:val="24"/>
        </w:rPr>
        <w:t xml:space="preserve">together </w:t>
      </w:r>
      <w:r>
        <w:rPr>
          <w:rFonts w:ascii="Times New Roman" w:hAnsi="Times New Roman"/>
          <w:sz w:val="24"/>
          <w:szCs w:val="24"/>
        </w:rPr>
        <w:t xml:space="preserve">declined by 27.20 percent, which affected the aggregate revenue receipts. </w:t>
      </w:r>
      <w:r w:rsidR="00225A0B">
        <w:rPr>
          <w:rFonts w:ascii="Times New Roman" w:hAnsi="Times New Roman"/>
          <w:sz w:val="24"/>
          <w:szCs w:val="24"/>
        </w:rPr>
        <w:t xml:space="preserve">The state received 41.94 percent less than the budget projection for central transfers. </w:t>
      </w:r>
      <w:r>
        <w:rPr>
          <w:rFonts w:ascii="Times New Roman" w:hAnsi="Times New Roman"/>
          <w:sz w:val="24"/>
          <w:szCs w:val="24"/>
        </w:rPr>
        <w:t xml:space="preserve">The own revenue of the state remained subdued </w:t>
      </w:r>
      <w:r w:rsidR="00225A0B">
        <w:rPr>
          <w:rFonts w:ascii="Times New Roman" w:hAnsi="Times New Roman"/>
          <w:sz w:val="24"/>
          <w:szCs w:val="24"/>
        </w:rPr>
        <w:t xml:space="preserve">in 2019-20. The loss of revenue </w:t>
      </w:r>
      <w:r w:rsidR="00E25530">
        <w:rPr>
          <w:rFonts w:ascii="Times New Roman" w:hAnsi="Times New Roman"/>
          <w:sz w:val="24"/>
          <w:szCs w:val="24"/>
        </w:rPr>
        <w:t xml:space="preserve">to </w:t>
      </w:r>
      <w:r w:rsidR="008B3CA8">
        <w:rPr>
          <w:rFonts w:ascii="Times New Roman" w:hAnsi="Times New Roman"/>
          <w:sz w:val="24"/>
          <w:szCs w:val="24"/>
        </w:rPr>
        <w:t>the state was not foreseen</w:t>
      </w:r>
      <w:r w:rsidR="00520A0B">
        <w:rPr>
          <w:rFonts w:ascii="Times New Roman" w:hAnsi="Times New Roman"/>
          <w:sz w:val="24"/>
          <w:szCs w:val="24"/>
        </w:rPr>
        <w:t xml:space="preserve"> as could be seen from the budget estimates</w:t>
      </w:r>
      <w:r w:rsidR="008B3CA8">
        <w:rPr>
          <w:rFonts w:ascii="Times New Roman" w:hAnsi="Times New Roman"/>
          <w:sz w:val="24"/>
          <w:szCs w:val="24"/>
        </w:rPr>
        <w:t xml:space="preserve">. The state breached the deficit target stipulated in the FRBM Act </w:t>
      </w:r>
    </w:p>
    <w:p w:rsidR="00445FCA" w:rsidRDefault="00F14FD5" w:rsidP="004E35C3">
      <w:pPr>
        <w:spacing w:line="360" w:lineRule="auto"/>
        <w:jc w:val="both"/>
        <w:rPr>
          <w:rFonts w:ascii="Times New Roman" w:hAnsi="Times New Roman"/>
          <w:sz w:val="24"/>
          <w:szCs w:val="24"/>
        </w:rPr>
      </w:pPr>
      <w:r>
        <w:rPr>
          <w:rFonts w:ascii="Times New Roman" w:hAnsi="Times New Roman"/>
          <w:sz w:val="24"/>
          <w:szCs w:val="24"/>
        </w:rPr>
        <w:t xml:space="preserve">The decline in central transfers to </w:t>
      </w:r>
      <w:r w:rsidR="00252857">
        <w:rPr>
          <w:rFonts w:ascii="Times New Roman" w:hAnsi="Times New Roman"/>
          <w:sz w:val="24"/>
          <w:szCs w:val="24"/>
        </w:rPr>
        <w:t xml:space="preserve">the </w:t>
      </w:r>
      <w:r>
        <w:rPr>
          <w:rFonts w:ascii="Times New Roman" w:hAnsi="Times New Roman"/>
          <w:sz w:val="24"/>
          <w:szCs w:val="24"/>
        </w:rPr>
        <w:t>states was partly due to adjustment of tax devolution on account of lower collection of central taxes in 2018-19. C</w:t>
      </w:r>
      <w:r w:rsidR="00E25530">
        <w:rPr>
          <w:rFonts w:ascii="Times New Roman" w:hAnsi="Times New Roman"/>
          <w:sz w:val="24"/>
          <w:szCs w:val="24"/>
        </w:rPr>
        <w:t>entral government</w:t>
      </w:r>
      <w:r w:rsidR="0007756C">
        <w:rPr>
          <w:rFonts w:ascii="Times New Roman" w:hAnsi="Times New Roman"/>
          <w:sz w:val="24"/>
          <w:szCs w:val="24"/>
        </w:rPr>
        <w:t>,</w:t>
      </w:r>
      <w:r w:rsidR="00E25530">
        <w:rPr>
          <w:rFonts w:ascii="Times New Roman" w:hAnsi="Times New Roman"/>
          <w:sz w:val="24"/>
          <w:szCs w:val="24"/>
        </w:rPr>
        <w:t xml:space="preserve"> acknowledging the </w:t>
      </w:r>
      <w:r>
        <w:rPr>
          <w:rFonts w:ascii="Times New Roman" w:hAnsi="Times New Roman"/>
          <w:sz w:val="24"/>
          <w:szCs w:val="24"/>
        </w:rPr>
        <w:t>fiscal problems of the states</w:t>
      </w:r>
      <w:r w:rsidR="0007756C">
        <w:rPr>
          <w:rFonts w:ascii="Times New Roman" w:hAnsi="Times New Roman"/>
          <w:sz w:val="24"/>
          <w:szCs w:val="24"/>
        </w:rPr>
        <w:t>,</w:t>
      </w:r>
      <w:r>
        <w:rPr>
          <w:rFonts w:ascii="Times New Roman" w:hAnsi="Times New Roman"/>
          <w:sz w:val="24"/>
          <w:szCs w:val="24"/>
        </w:rPr>
        <w:t xml:space="preserve"> provided the relief in the form of </w:t>
      </w:r>
      <w:r w:rsidR="0007756C">
        <w:rPr>
          <w:rFonts w:ascii="Times New Roman" w:hAnsi="Times New Roman"/>
          <w:sz w:val="24"/>
          <w:szCs w:val="24"/>
        </w:rPr>
        <w:t xml:space="preserve">special onetime dispensation of </w:t>
      </w:r>
      <w:r>
        <w:rPr>
          <w:rFonts w:ascii="Times New Roman" w:hAnsi="Times New Roman"/>
          <w:sz w:val="24"/>
          <w:szCs w:val="24"/>
        </w:rPr>
        <w:t>high</w:t>
      </w:r>
      <w:r w:rsidR="0007756C">
        <w:rPr>
          <w:rFonts w:ascii="Times New Roman" w:hAnsi="Times New Roman"/>
          <w:sz w:val="24"/>
          <w:szCs w:val="24"/>
        </w:rPr>
        <w:t>er</w:t>
      </w:r>
      <w:r>
        <w:rPr>
          <w:rFonts w:ascii="Times New Roman" w:hAnsi="Times New Roman"/>
          <w:sz w:val="24"/>
          <w:szCs w:val="24"/>
        </w:rPr>
        <w:t xml:space="preserve"> borrowing in which Sikkim was allowed to borrow Rs.216 crores. But the decline in central transfers as compared to budget estimates was much h</w:t>
      </w:r>
      <w:r w:rsidR="00B62969">
        <w:rPr>
          <w:rFonts w:ascii="Times New Roman" w:hAnsi="Times New Roman"/>
          <w:sz w:val="24"/>
          <w:szCs w:val="24"/>
        </w:rPr>
        <w:t>igher at Rs.</w:t>
      </w:r>
      <w:r w:rsidR="00F158F3">
        <w:rPr>
          <w:rFonts w:ascii="Times New Roman" w:hAnsi="Times New Roman"/>
          <w:sz w:val="24"/>
          <w:szCs w:val="24"/>
        </w:rPr>
        <w:t xml:space="preserve"> </w:t>
      </w:r>
      <w:r w:rsidR="00B62969">
        <w:rPr>
          <w:rFonts w:ascii="Times New Roman" w:hAnsi="Times New Roman"/>
          <w:sz w:val="24"/>
          <w:szCs w:val="24"/>
        </w:rPr>
        <w:t xml:space="preserve">2295.22 crores. </w:t>
      </w:r>
      <w:r w:rsidR="0007756C">
        <w:rPr>
          <w:rFonts w:ascii="Times New Roman" w:hAnsi="Times New Roman"/>
          <w:sz w:val="24"/>
          <w:szCs w:val="24"/>
        </w:rPr>
        <w:t>T</w:t>
      </w:r>
      <w:r w:rsidR="00B62969">
        <w:rPr>
          <w:rFonts w:ascii="Times New Roman" w:hAnsi="Times New Roman"/>
          <w:sz w:val="24"/>
          <w:szCs w:val="24"/>
        </w:rPr>
        <w:t>he GDP growth in the fiscal year also remain</w:t>
      </w:r>
      <w:r w:rsidR="00E927F4">
        <w:rPr>
          <w:rFonts w:ascii="Times New Roman" w:hAnsi="Times New Roman"/>
          <w:sz w:val="24"/>
          <w:szCs w:val="24"/>
        </w:rPr>
        <w:t>ed</w:t>
      </w:r>
      <w:r w:rsidR="00B62969">
        <w:rPr>
          <w:rFonts w:ascii="Times New Roman" w:hAnsi="Times New Roman"/>
          <w:sz w:val="24"/>
          <w:szCs w:val="24"/>
        </w:rPr>
        <w:t xml:space="preserve"> low at 4 percent which did not help </w:t>
      </w:r>
      <w:r w:rsidR="0007756C">
        <w:rPr>
          <w:rFonts w:ascii="Times New Roman" w:hAnsi="Times New Roman"/>
          <w:sz w:val="24"/>
          <w:szCs w:val="24"/>
        </w:rPr>
        <w:t xml:space="preserve">the </w:t>
      </w:r>
      <w:r w:rsidR="00B62969">
        <w:rPr>
          <w:rFonts w:ascii="Times New Roman" w:hAnsi="Times New Roman"/>
          <w:sz w:val="24"/>
          <w:szCs w:val="24"/>
        </w:rPr>
        <w:t xml:space="preserve">collection </w:t>
      </w:r>
      <w:r w:rsidR="00E927F4">
        <w:rPr>
          <w:rFonts w:ascii="Times New Roman" w:hAnsi="Times New Roman"/>
          <w:sz w:val="24"/>
          <w:szCs w:val="24"/>
        </w:rPr>
        <w:t xml:space="preserve">of </w:t>
      </w:r>
      <w:r w:rsidR="00B62969">
        <w:rPr>
          <w:rFonts w:ascii="Times New Roman" w:hAnsi="Times New Roman"/>
          <w:sz w:val="24"/>
          <w:szCs w:val="24"/>
        </w:rPr>
        <w:t>higher central taxes. The grants to the state declined at a much higher rate of 44</w:t>
      </w:r>
      <w:r w:rsidR="00D04505">
        <w:rPr>
          <w:rFonts w:ascii="Times New Roman" w:hAnsi="Times New Roman"/>
          <w:sz w:val="24"/>
          <w:szCs w:val="24"/>
        </w:rPr>
        <w:t xml:space="preserve"> </w:t>
      </w:r>
      <w:r w:rsidR="00B62969">
        <w:rPr>
          <w:rFonts w:ascii="Times New Roman" w:hAnsi="Times New Roman"/>
          <w:sz w:val="24"/>
          <w:szCs w:val="24"/>
        </w:rPr>
        <w:t>percent in 2019-20 over the previous year and declined by Rs</w:t>
      </w:r>
      <w:r w:rsidR="00F158F3">
        <w:rPr>
          <w:rFonts w:ascii="Times New Roman" w:hAnsi="Times New Roman"/>
          <w:sz w:val="24"/>
          <w:szCs w:val="24"/>
        </w:rPr>
        <w:t xml:space="preserve">. </w:t>
      </w:r>
      <w:r w:rsidR="00B62969">
        <w:rPr>
          <w:rFonts w:ascii="Times New Roman" w:hAnsi="Times New Roman"/>
          <w:sz w:val="24"/>
          <w:szCs w:val="24"/>
        </w:rPr>
        <w:t xml:space="preserve">1621.26 crores as compared to the budget estimates. The projection of central transfers at such higher rate did not correspond to existing economic situation in the country.  </w:t>
      </w:r>
    </w:p>
    <w:p w:rsidR="00E927F4" w:rsidRDefault="00E927F4" w:rsidP="00445FCA">
      <w:pPr>
        <w:spacing w:before="100" w:beforeAutospacing="1" w:after="0" w:line="360" w:lineRule="auto"/>
        <w:jc w:val="both"/>
        <w:rPr>
          <w:rFonts w:ascii="Times New Roman" w:hAnsi="Times New Roman"/>
          <w:sz w:val="24"/>
          <w:szCs w:val="24"/>
        </w:rPr>
      </w:pPr>
      <w:r>
        <w:rPr>
          <w:rFonts w:ascii="Times New Roman" w:hAnsi="Times New Roman"/>
          <w:sz w:val="24"/>
          <w:szCs w:val="24"/>
        </w:rPr>
        <w:t>The decline in r</w:t>
      </w:r>
      <w:r w:rsidR="0007756C">
        <w:rPr>
          <w:rFonts w:ascii="Times New Roman" w:hAnsi="Times New Roman"/>
          <w:sz w:val="24"/>
          <w:szCs w:val="24"/>
        </w:rPr>
        <w:t>evenue receipts had its impact o</w:t>
      </w:r>
      <w:r>
        <w:rPr>
          <w:rFonts w:ascii="Times New Roman" w:hAnsi="Times New Roman"/>
          <w:sz w:val="24"/>
          <w:szCs w:val="24"/>
        </w:rPr>
        <w:t xml:space="preserve">n the level </w:t>
      </w:r>
      <w:r w:rsidR="00D04505">
        <w:rPr>
          <w:rFonts w:ascii="Times New Roman" w:hAnsi="Times New Roman"/>
          <w:sz w:val="24"/>
          <w:szCs w:val="24"/>
        </w:rPr>
        <w:t xml:space="preserve">of </w:t>
      </w:r>
      <w:r>
        <w:rPr>
          <w:rFonts w:ascii="Times New Roman" w:hAnsi="Times New Roman"/>
          <w:sz w:val="24"/>
          <w:szCs w:val="24"/>
        </w:rPr>
        <w:t>spending of the state. While the state spent Rs.</w:t>
      </w:r>
      <w:r w:rsidR="00F158F3">
        <w:rPr>
          <w:rFonts w:ascii="Times New Roman" w:hAnsi="Times New Roman"/>
          <w:sz w:val="24"/>
          <w:szCs w:val="24"/>
        </w:rPr>
        <w:t xml:space="preserve"> </w:t>
      </w:r>
      <w:r>
        <w:rPr>
          <w:rFonts w:ascii="Times New Roman" w:hAnsi="Times New Roman"/>
          <w:sz w:val="24"/>
          <w:szCs w:val="24"/>
        </w:rPr>
        <w:t>944.01 crores less than</w:t>
      </w:r>
      <w:r w:rsidR="0007756C">
        <w:rPr>
          <w:rFonts w:ascii="Times New Roman" w:hAnsi="Times New Roman"/>
          <w:sz w:val="24"/>
          <w:szCs w:val="24"/>
        </w:rPr>
        <w:t xml:space="preserve"> the</w:t>
      </w:r>
      <w:r>
        <w:rPr>
          <w:rFonts w:ascii="Times New Roman" w:hAnsi="Times New Roman"/>
          <w:sz w:val="24"/>
          <w:szCs w:val="24"/>
        </w:rPr>
        <w:t xml:space="preserve"> budget estimates in revenue expenditure, the capital outlay was less by Rs.</w:t>
      </w:r>
      <w:r w:rsidR="00F158F3">
        <w:rPr>
          <w:rFonts w:ascii="Times New Roman" w:hAnsi="Times New Roman"/>
          <w:sz w:val="24"/>
          <w:szCs w:val="24"/>
        </w:rPr>
        <w:t xml:space="preserve"> </w:t>
      </w:r>
      <w:r>
        <w:rPr>
          <w:rFonts w:ascii="Times New Roman" w:hAnsi="Times New Roman"/>
          <w:sz w:val="24"/>
          <w:szCs w:val="24"/>
        </w:rPr>
        <w:t xml:space="preserve">389.97 crores. These adjustments were significant. However, given the size of the revenue expenditure the impact of revenue shortfall was less. As percent to GSDP, it declined marginally from 19.51 percent in 2018-19 to 19.05 percent in 2019-20. The adjustment in capital outlay has been large as it declined from 4.99 percent to 2.27 percent. </w:t>
      </w:r>
    </w:p>
    <w:p w:rsidR="00AF5570" w:rsidRDefault="00AF5570" w:rsidP="00445FCA">
      <w:pPr>
        <w:spacing w:before="100" w:beforeAutospacing="1" w:after="0" w:line="360" w:lineRule="auto"/>
        <w:jc w:val="both"/>
        <w:rPr>
          <w:rFonts w:ascii="Times New Roman" w:hAnsi="Times New Roman"/>
          <w:sz w:val="24"/>
          <w:szCs w:val="24"/>
        </w:rPr>
      </w:pPr>
      <w:r>
        <w:rPr>
          <w:rFonts w:ascii="Times New Roman" w:hAnsi="Times New Roman"/>
          <w:sz w:val="24"/>
          <w:szCs w:val="24"/>
        </w:rPr>
        <w:t xml:space="preserve">Revenue expenditure proved to be rigid downward due to large share of committed </w:t>
      </w:r>
      <w:r w:rsidR="00D04505">
        <w:rPr>
          <w:rFonts w:ascii="Times New Roman" w:hAnsi="Times New Roman"/>
          <w:sz w:val="24"/>
          <w:szCs w:val="24"/>
        </w:rPr>
        <w:t>spending</w:t>
      </w:r>
      <w:r>
        <w:rPr>
          <w:rFonts w:ascii="Times New Roman" w:hAnsi="Times New Roman"/>
          <w:sz w:val="24"/>
          <w:szCs w:val="24"/>
        </w:rPr>
        <w:t xml:space="preserve"> like salary, interest payment and pension outgo. The salary and pension component increased in 2019-20 due to payments of arrears of Six Pay Commission. While revenue declined considerably, the government did not reduce the revenue expenditure commensurately, increasing revenue deficit which in turn increased fiscal deficit. </w:t>
      </w:r>
    </w:p>
    <w:p w:rsidR="00E927F4" w:rsidRDefault="00E927F4" w:rsidP="00445FCA">
      <w:pPr>
        <w:spacing w:before="100" w:beforeAutospacing="1" w:after="0" w:line="360" w:lineRule="auto"/>
        <w:jc w:val="both"/>
        <w:rPr>
          <w:rFonts w:ascii="Times New Roman" w:hAnsi="Times New Roman"/>
          <w:sz w:val="24"/>
          <w:szCs w:val="24"/>
        </w:rPr>
      </w:pPr>
      <w:r>
        <w:rPr>
          <w:rFonts w:ascii="Times New Roman" w:hAnsi="Times New Roman"/>
          <w:sz w:val="24"/>
          <w:szCs w:val="24"/>
        </w:rPr>
        <w:lastRenderedPageBreak/>
        <w:t xml:space="preserve">The spending adjustment, however, could not reduce the fiscal deficit, which increased to 6.4 percent in 2019-20. The state </w:t>
      </w:r>
      <w:r w:rsidR="00AF5570">
        <w:rPr>
          <w:rFonts w:ascii="Times New Roman" w:hAnsi="Times New Roman"/>
          <w:sz w:val="24"/>
          <w:szCs w:val="24"/>
        </w:rPr>
        <w:t xml:space="preserve">could </w:t>
      </w:r>
      <w:r>
        <w:rPr>
          <w:rFonts w:ascii="Times New Roman" w:hAnsi="Times New Roman"/>
          <w:sz w:val="24"/>
          <w:szCs w:val="24"/>
        </w:rPr>
        <w:t>increase the fiscal deficit to 3.5 percent based on the flexibility granted by the FC-XIV and increase the borrowing by Rs.</w:t>
      </w:r>
      <w:r w:rsidR="00F158F3">
        <w:rPr>
          <w:rFonts w:ascii="Times New Roman" w:hAnsi="Times New Roman"/>
          <w:sz w:val="24"/>
          <w:szCs w:val="24"/>
        </w:rPr>
        <w:t xml:space="preserve"> </w:t>
      </w:r>
      <w:r>
        <w:rPr>
          <w:rFonts w:ascii="Times New Roman" w:hAnsi="Times New Roman"/>
          <w:sz w:val="24"/>
          <w:szCs w:val="24"/>
        </w:rPr>
        <w:t>216 crores allowed by the central government. These two increments taken together brought the fiscal deficit to 4.26. But the fiscal deficit outturn exceeded the allowed fiscal deficit to a large extent.</w:t>
      </w:r>
    </w:p>
    <w:p w:rsidR="00AF5570" w:rsidRDefault="00AF5570" w:rsidP="00445FCA">
      <w:pPr>
        <w:spacing w:before="100" w:beforeAutospacing="1" w:after="0" w:line="360" w:lineRule="auto"/>
        <w:jc w:val="both"/>
        <w:rPr>
          <w:rFonts w:ascii="Times New Roman" w:hAnsi="Times New Roman"/>
          <w:sz w:val="24"/>
          <w:szCs w:val="24"/>
        </w:rPr>
      </w:pPr>
      <w:r>
        <w:rPr>
          <w:rFonts w:ascii="Times New Roman" w:hAnsi="Times New Roman"/>
          <w:sz w:val="24"/>
          <w:szCs w:val="24"/>
        </w:rPr>
        <w:t xml:space="preserve">While fiscal deficit increased to a high of 6.4 percent of GSDP, the state government resorted to utilizing cash investments in public accounts </w:t>
      </w:r>
      <w:r w:rsidR="00D04505">
        <w:rPr>
          <w:rFonts w:ascii="Times New Roman" w:hAnsi="Times New Roman"/>
          <w:sz w:val="24"/>
          <w:szCs w:val="24"/>
        </w:rPr>
        <w:t xml:space="preserve">to </w:t>
      </w:r>
      <w:r>
        <w:rPr>
          <w:rFonts w:ascii="Times New Roman" w:hAnsi="Times New Roman"/>
          <w:sz w:val="24"/>
          <w:szCs w:val="24"/>
        </w:rPr>
        <w:t>finance the fiscal deficit in addition to borrowing instruments. Th</w:t>
      </w:r>
      <w:r w:rsidR="008B3CA8">
        <w:rPr>
          <w:rFonts w:ascii="Times New Roman" w:hAnsi="Times New Roman"/>
          <w:sz w:val="24"/>
          <w:szCs w:val="24"/>
        </w:rPr>
        <w:t xml:space="preserve">e outstanding debt did </w:t>
      </w:r>
      <w:r>
        <w:rPr>
          <w:rFonts w:ascii="Times New Roman" w:hAnsi="Times New Roman"/>
          <w:sz w:val="24"/>
          <w:szCs w:val="24"/>
        </w:rPr>
        <w:t xml:space="preserve">not rise to the extent of increment in fiscal deficit. </w:t>
      </w:r>
      <w:r w:rsidR="00F158F3">
        <w:rPr>
          <w:rFonts w:ascii="Times New Roman" w:hAnsi="Times New Roman"/>
          <w:sz w:val="24"/>
          <w:szCs w:val="24"/>
        </w:rPr>
        <w:t>Earlier the C</w:t>
      </w:r>
      <w:r w:rsidR="008B3CA8">
        <w:rPr>
          <w:rFonts w:ascii="Times New Roman" w:hAnsi="Times New Roman"/>
          <w:sz w:val="24"/>
          <w:szCs w:val="24"/>
        </w:rPr>
        <w:t xml:space="preserve">entral Finance Commissions and the CAG had advised the states to utilize cash balance instead of resorting to borrowing to finance fiscal deficit. </w:t>
      </w:r>
    </w:p>
    <w:p w:rsidR="00E927F4" w:rsidRDefault="00AF5570" w:rsidP="00445FCA">
      <w:pPr>
        <w:spacing w:before="100" w:beforeAutospacing="1" w:after="0" w:line="360" w:lineRule="auto"/>
        <w:jc w:val="both"/>
        <w:rPr>
          <w:rFonts w:ascii="Times New Roman" w:hAnsi="Times New Roman"/>
          <w:sz w:val="24"/>
          <w:szCs w:val="24"/>
        </w:rPr>
      </w:pPr>
      <w:r>
        <w:rPr>
          <w:rFonts w:ascii="Times New Roman" w:hAnsi="Times New Roman"/>
          <w:sz w:val="24"/>
          <w:szCs w:val="24"/>
        </w:rPr>
        <w:t xml:space="preserve">The fiscal imbalance heightened by resource problem presented several fiscal management issues that needs to be considered. </w:t>
      </w:r>
      <w:r w:rsidR="008B3CA8" w:rsidRPr="008B3CA8">
        <w:rPr>
          <w:rFonts w:ascii="Times New Roman" w:hAnsi="Times New Roman"/>
          <w:sz w:val="24"/>
          <w:szCs w:val="24"/>
        </w:rPr>
        <w:t>Fiscal rules provide self-restraint to politicians and executive to observe fiscal discipline, which is foremost factor to improve allocative and operational efficiency in public finance.</w:t>
      </w:r>
      <w:r w:rsidR="008B3CA8">
        <w:rPr>
          <w:rFonts w:ascii="Times New Roman" w:hAnsi="Times New Roman"/>
          <w:sz w:val="24"/>
          <w:szCs w:val="24"/>
        </w:rPr>
        <w:t xml:space="preserve"> Expanding the spending programs and committing to new programs which have severe resource requirements at the time of uncertainties in resource flow, brings in fiscal imbalance. In response to Covid-19 pandemic and consequent pressure on resource generation, </w:t>
      </w:r>
      <w:r w:rsidR="008B3CA8" w:rsidRPr="002F1671">
        <w:rPr>
          <w:rFonts w:ascii="Times New Roman" w:eastAsia="Times New Roman" w:hAnsi="Times New Roman"/>
          <w:sz w:val="24"/>
          <w:szCs w:val="24"/>
        </w:rPr>
        <w:t>states were allowed to increase borrowing</w:t>
      </w:r>
      <w:r w:rsidR="008B3CA8">
        <w:rPr>
          <w:rFonts w:ascii="Times New Roman" w:eastAsia="Times New Roman" w:hAnsi="Times New Roman"/>
          <w:sz w:val="24"/>
          <w:szCs w:val="24"/>
        </w:rPr>
        <w:t xml:space="preserve">. According to the recommendations of FC-XIV, states have to come to the consolidation process gradually starting from 2021-22. </w:t>
      </w:r>
      <w:r w:rsidR="008B3CA8" w:rsidRPr="002F1671">
        <w:rPr>
          <w:rFonts w:ascii="Times New Roman" w:eastAsia="Times New Roman" w:hAnsi="Times New Roman"/>
          <w:sz w:val="24"/>
          <w:szCs w:val="24"/>
        </w:rPr>
        <w:t xml:space="preserve">Strengthening PFM system and adherence to amended FRBM Act targets will be important. </w:t>
      </w:r>
      <w:r w:rsidR="002D5E08" w:rsidRPr="002D5E08">
        <w:rPr>
          <w:rFonts w:ascii="Times New Roman" w:eastAsia="Times New Roman" w:hAnsi="Times New Roman"/>
          <w:sz w:val="24"/>
          <w:szCs w:val="24"/>
        </w:rPr>
        <w:t xml:space="preserve">The independent review of fiscal policy and FRBM Act is an excellent institutional framework within which these reform measures can be assessed. The state government can widen the ambit of the independent review to include assessment of PFM reforms and their working along with compliance to FRBM Act provision. </w:t>
      </w:r>
    </w:p>
    <w:p w:rsidR="0007756C" w:rsidRDefault="00B33DCA" w:rsidP="00B33DCA">
      <w:pPr>
        <w:spacing w:before="100" w:beforeAutospacing="1" w:after="0" w:line="360" w:lineRule="auto"/>
        <w:jc w:val="both"/>
        <w:rPr>
          <w:rFonts w:ascii="Times New Roman" w:hAnsi="Times New Roman"/>
          <w:sz w:val="24"/>
          <w:szCs w:val="24"/>
        </w:rPr>
      </w:pPr>
      <w:r w:rsidRPr="00B33DCA">
        <w:rPr>
          <w:rFonts w:ascii="Times New Roman" w:hAnsi="Times New Roman"/>
          <w:sz w:val="24"/>
          <w:szCs w:val="24"/>
        </w:rPr>
        <w:t xml:space="preserve">In addition to fiscal targets, the Act calls upon the government to achieve a set </w:t>
      </w:r>
      <w:r w:rsidR="00016A54">
        <w:rPr>
          <w:rFonts w:ascii="Times New Roman" w:hAnsi="Times New Roman"/>
          <w:sz w:val="24"/>
          <w:szCs w:val="24"/>
        </w:rPr>
        <w:t xml:space="preserve">of </w:t>
      </w:r>
      <w:r w:rsidRPr="00B33DCA">
        <w:rPr>
          <w:rFonts w:ascii="Times New Roman" w:hAnsi="Times New Roman"/>
          <w:sz w:val="24"/>
          <w:szCs w:val="24"/>
        </w:rPr>
        <w:t xml:space="preserve">guiding fiscal principles. The </w:t>
      </w:r>
      <w:r>
        <w:rPr>
          <w:rFonts w:ascii="Times New Roman" w:hAnsi="Times New Roman"/>
          <w:sz w:val="24"/>
          <w:szCs w:val="24"/>
        </w:rPr>
        <w:t xml:space="preserve">principles </w:t>
      </w:r>
      <w:r w:rsidRPr="00B33DCA">
        <w:rPr>
          <w:rFonts w:ascii="Times New Roman" w:hAnsi="Times New Roman"/>
          <w:sz w:val="24"/>
          <w:szCs w:val="24"/>
        </w:rPr>
        <w:t xml:space="preserve">include generating surplus in revenue account to create capital assets, raise non-tax revenue giving due regard to cost-recovery and equity, prioritize capital expenditure, and pursue expenditure policies that would provide impetus for economic growth, poverty reduction, and improvement in human welfare. Judging from the </w:t>
      </w:r>
      <w:r>
        <w:rPr>
          <w:rFonts w:ascii="Times New Roman" w:hAnsi="Times New Roman"/>
          <w:sz w:val="24"/>
          <w:szCs w:val="24"/>
        </w:rPr>
        <w:t xml:space="preserve">fiscal management </w:t>
      </w:r>
      <w:r w:rsidR="0007756C">
        <w:rPr>
          <w:rFonts w:ascii="Times New Roman" w:hAnsi="Times New Roman"/>
          <w:sz w:val="24"/>
          <w:szCs w:val="24"/>
        </w:rPr>
        <w:t xml:space="preserve">in 2019-20, many of these principles remained challenging to observe. </w:t>
      </w:r>
    </w:p>
    <w:sectPr w:rsidR="0007756C" w:rsidSect="003E310E">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3CB" w:rsidRDefault="002223CB" w:rsidP="00BE4E95">
      <w:pPr>
        <w:spacing w:after="0" w:line="240" w:lineRule="auto"/>
      </w:pPr>
      <w:r>
        <w:separator/>
      </w:r>
    </w:p>
  </w:endnote>
  <w:endnote w:type="continuationSeparator" w:id="0">
    <w:p w:rsidR="002223CB" w:rsidRDefault="002223CB" w:rsidP="00BE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551347"/>
      <w:docPartObj>
        <w:docPartGallery w:val="Page Numbers (Bottom of Page)"/>
        <w:docPartUnique/>
      </w:docPartObj>
    </w:sdtPr>
    <w:sdtEndPr>
      <w:rPr>
        <w:noProof/>
      </w:rPr>
    </w:sdtEndPr>
    <w:sdtContent>
      <w:p w:rsidR="00E923AE" w:rsidRDefault="00E923AE" w:rsidP="00C82D59">
        <w:pPr>
          <w:pStyle w:val="Footer"/>
          <w:jc w:val="center"/>
        </w:pPr>
        <w:r>
          <w:fldChar w:fldCharType="begin"/>
        </w:r>
        <w:r>
          <w:instrText xml:space="preserve"> PAGE   \* MERGEFORMAT </w:instrText>
        </w:r>
        <w:r>
          <w:fldChar w:fldCharType="separate"/>
        </w:r>
        <w:r w:rsidR="00C713BA">
          <w:rPr>
            <w:noProof/>
          </w:rPr>
          <w:t>42</w:t>
        </w:r>
        <w:r>
          <w:rPr>
            <w:noProof/>
          </w:rPr>
          <w:fldChar w:fldCharType="end"/>
        </w:r>
      </w:p>
    </w:sdtContent>
  </w:sdt>
  <w:p w:rsidR="00E923AE" w:rsidRDefault="00E92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3CB" w:rsidRDefault="002223CB" w:rsidP="00BE4E95">
      <w:pPr>
        <w:spacing w:after="0" w:line="240" w:lineRule="auto"/>
      </w:pPr>
      <w:r>
        <w:separator/>
      </w:r>
    </w:p>
  </w:footnote>
  <w:footnote w:type="continuationSeparator" w:id="0">
    <w:p w:rsidR="002223CB" w:rsidRDefault="002223CB" w:rsidP="00BE4E95">
      <w:pPr>
        <w:spacing w:after="0" w:line="240" w:lineRule="auto"/>
      </w:pPr>
      <w:r>
        <w:continuationSeparator/>
      </w:r>
    </w:p>
  </w:footnote>
  <w:footnote w:id="1">
    <w:p w:rsidR="00E923AE" w:rsidRPr="00C713BA" w:rsidRDefault="00E923AE" w:rsidP="005438FB">
      <w:pPr>
        <w:pStyle w:val="FootnoteText"/>
        <w:rPr>
          <w:rFonts w:ascii="Times New Roman" w:hAnsi="Times New Roman"/>
          <w:lang w:val="en-IN"/>
        </w:rPr>
      </w:pPr>
      <w:r w:rsidRPr="007E41FB">
        <w:rPr>
          <w:rStyle w:val="FootnoteReference"/>
          <w:rFonts w:asciiTheme="majorHAnsi" w:hAnsiTheme="majorHAnsi"/>
        </w:rPr>
        <w:footnoteRef/>
      </w:r>
      <w:r w:rsidRPr="007E41FB">
        <w:rPr>
          <w:rFonts w:asciiTheme="majorHAnsi" w:hAnsiTheme="majorHAnsi"/>
        </w:rPr>
        <w:t xml:space="preserve"> </w:t>
      </w:r>
      <w:r w:rsidRPr="00C713BA">
        <w:rPr>
          <w:rFonts w:ascii="Times New Roman" w:hAnsi="Times New Roman"/>
        </w:rPr>
        <w:t>IMF Code of Good Practices on Fiscal Transparency.</w:t>
      </w:r>
    </w:p>
  </w:footnote>
  <w:footnote w:id="2">
    <w:p w:rsidR="00E923AE" w:rsidRPr="00C713BA" w:rsidRDefault="00E923AE" w:rsidP="002B58A9">
      <w:pPr>
        <w:pStyle w:val="FootnoteText"/>
        <w:rPr>
          <w:rFonts w:ascii="Times New Roman" w:hAnsi="Times New Roman"/>
          <w:lang w:val="en-IN"/>
        </w:rPr>
      </w:pPr>
      <w:r w:rsidRPr="00C713BA">
        <w:rPr>
          <w:rStyle w:val="FootnoteReference"/>
          <w:rFonts w:ascii="Times New Roman" w:hAnsi="Times New Roman"/>
        </w:rPr>
        <w:footnoteRef/>
      </w:r>
      <w:r w:rsidRPr="00C713BA">
        <w:rPr>
          <w:rFonts w:ascii="Times New Roman" w:hAnsi="Times New Roman"/>
        </w:rPr>
        <w:t xml:space="preserve"> </w:t>
      </w:r>
      <w:r w:rsidRPr="00C713BA">
        <w:rPr>
          <w:rFonts w:ascii="Times New Roman" w:hAnsi="Times New Roman"/>
          <w:lang w:val="en-IN"/>
        </w:rPr>
        <w:t>Report of the Thirteenth Finance commission, paras 9.65 and 9.66, pp.137.</w:t>
      </w:r>
    </w:p>
  </w:footnote>
  <w:footnote w:id="3">
    <w:p w:rsidR="00E923AE" w:rsidRPr="00C713BA" w:rsidRDefault="00E923AE" w:rsidP="00135EB9">
      <w:pPr>
        <w:pStyle w:val="FootnoteText"/>
        <w:jc w:val="both"/>
        <w:rPr>
          <w:rFonts w:ascii="Times New Roman" w:hAnsi="Times New Roman"/>
          <w:lang w:val="en-IN"/>
        </w:rPr>
      </w:pPr>
      <w:r w:rsidRPr="00C713BA">
        <w:rPr>
          <w:rStyle w:val="FootnoteReference"/>
          <w:rFonts w:ascii="Times New Roman" w:hAnsi="Times New Roman"/>
        </w:rPr>
        <w:footnoteRef/>
      </w:r>
      <w:r w:rsidRPr="00C713BA">
        <w:rPr>
          <w:rFonts w:ascii="Times New Roman" w:hAnsi="Times New Roman"/>
        </w:rPr>
        <w:t xml:space="preserve"> The 13th and 14th Finance Commissions advocated for establishing independent fiscal agencies to review the government’s adherence to fiscal rules, and to provide independent assessments of budget proposals. The N.K. Singh committee, (2017) on the review of fiscal rules suggested the creation of an independent fiscal council that would provide forecasts and advise the government on whether conditions exist for deviation from the mandated fiscal rules. In 2018, the D.K. Srivastava committee on Fiscal Statistics suggested the establishment of a fiscal council that could co-ordinate with all levels of government to provide harmonized fiscal statistics and provide an annual assessment of overall public sector borrowing requirements.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75ACA"/>
    <w:multiLevelType w:val="hybridMultilevel"/>
    <w:tmpl w:val="8F8C6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2916B4"/>
    <w:multiLevelType w:val="multilevel"/>
    <w:tmpl w:val="D28006C2"/>
    <w:lvl w:ilvl="0">
      <w:start w:val="1"/>
      <w:numFmt w:val="decimal"/>
      <w:lvlText w:val="%1."/>
      <w:lvlJc w:val="left"/>
      <w:pPr>
        <w:ind w:left="360" w:hanging="360"/>
      </w:pPr>
      <w:rPr>
        <w:rFonts w:cs="Times New Roman" w:hint="default"/>
      </w:rPr>
    </w:lvl>
    <w:lvl w:ilvl="1">
      <w:start w:val="1"/>
      <w:numFmt w:val="decimal"/>
      <w:isLgl/>
      <w:lvlText w:val="%1.%2"/>
      <w:lvlJc w:val="left"/>
      <w:pPr>
        <w:ind w:left="351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24C3119D"/>
    <w:multiLevelType w:val="hybridMultilevel"/>
    <w:tmpl w:val="6772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483332"/>
    <w:multiLevelType w:val="multilevel"/>
    <w:tmpl w:val="79F66DD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AA029D"/>
    <w:multiLevelType w:val="hybridMultilevel"/>
    <w:tmpl w:val="E4C4D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6A3F79"/>
    <w:multiLevelType w:val="multilevel"/>
    <w:tmpl w:val="489631A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4E6F85"/>
    <w:multiLevelType w:val="hybridMultilevel"/>
    <w:tmpl w:val="94E21C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9C2864"/>
    <w:multiLevelType w:val="hybridMultilevel"/>
    <w:tmpl w:val="318E6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BB7E09"/>
    <w:multiLevelType w:val="hybridMultilevel"/>
    <w:tmpl w:val="BF7230E2"/>
    <w:lvl w:ilvl="0" w:tplc="4009000F">
      <w:start w:val="2"/>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7441BD"/>
    <w:multiLevelType w:val="multilevel"/>
    <w:tmpl w:val="BFCA2E96"/>
    <w:lvl w:ilvl="0">
      <w:start w:val="2"/>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85A40DE"/>
    <w:multiLevelType w:val="multilevel"/>
    <w:tmpl w:val="489631A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B07A90"/>
    <w:multiLevelType w:val="hybridMultilevel"/>
    <w:tmpl w:val="007022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EB81583"/>
    <w:multiLevelType w:val="multilevel"/>
    <w:tmpl w:val="07AED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CB1EEA"/>
    <w:multiLevelType w:val="multilevel"/>
    <w:tmpl w:val="634A71E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38352C"/>
    <w:multiLevelType w:val="hybridMultilevel"/>
    <w:tmpl w:val="8084D0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C22667F"/>
    <w:multiLevelType w:val="hybridMultilevel"/>
    <w:tmpl w:val="C0A63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5327E0"/>
    <w:multiLevelType w:val="multilevel"/>
    <w:tmpl w:val="6B5400C0"/>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D614C85"/>
    <w:multiLevelType w:val="hybridMultilevel"/>
    <w:tmpl w:val="A6CC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B7D20"/>
    <w:multiLevelType w:val="hybridMultilevel"/>
    <w:tmpl w:val="06A2E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6"/>
  </w:num>
  <w:num w:numId="6">
    <w:abstractNumId w:val="17"/>
  </w:num>
  <w:num w:numId="7">
    <w:abstractNumId w:val="4"/>
  </w:num>
  <w:num w:numId="8">
    <w:abstractNumId w:val="14"/>
  </w:num>
  <w:num w:numId="9">
    <w:abstractNumId w:val="8"/>
  </w:num>
  <w:num w:numId="10">
    <w:abstractNumId w:val="9"/>
  </w:num>
  <w:num w:numId="11">
    <w:abstractNumId w:val="12"/>
  </w:num>
  <w:num w:numId="12">
    <w:abstractNumId w:val="16"/>
  </w:num>
  <w:num w:numId="13">
    <w:abstractNumId w:val="13"/>
  </w:num>
  <w:num w:numId="14">
    <w:abstractNumId w:val="3"/>
  </w:num>
  <w:num w:numId="15">
    <w:abstractNumId w:val="11"/>
  </w:num>
  <w:num w:numId="16">
    <w:abstractNumId w:val="7"/>
  </w:num>
  <w:num w:numId="17">
    <w:abstractNumId w:val="15"/>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CD"/>
    <w:rsid w:val="00005D06"/>
    <w:rsid w:val="00007BBF"/>
    <w:rsid w:val="00007CDD"/>
    <w:rsid w:val="000136AC"/>
    <w:rsid w:val="00013A20"/>
    <w:rsid w:val="00016A54"/>
    <w:rsid w:val="00020753"/>
    <w:rsid w:val="00023437"/>
    <w:rsid w:val="0002511C"/>
    <w:rsid w:val="000256E7"/>
    <w:rsid w:val="00027EE1"/>
    <w:rsid w:val="00030194"/>
    <w:rsid w:val="00031330"/>
    <w:rsid w:val="000353A7"/>
    <w:rsid w:val="00036211"/>
    <w:rsid w:val="00036C4C"/>
    <w:rsid w:val="000370C9"/>
    <w:rsid w:val="000401C7"/>
    <w:rsid w:val="00043DEC"/>
    <w:rsid w:val="0004542C"/>
    <w:rsid w:val="00045C9D"/>
    <w:rsid w:val="0004649E"/>
    <w:rsid w:val="00046824"/>
    <w:rsid w:val="00046B87"/>
    <w:rsid w:val="00052E4B"/>
    <w:rsid w:val="00052E71"/>
    <w:rsid w:val="00056938"/>
    <w:rsid w:val="0005746E"/>
    <w:rsid w:val="00057808"/>
    <w:rsid w:val="00062E19"/>
    <w:rsid w:val="00063259"/>
    <w:rsid w:val="00064944"/>
    <w:rsid w:val="00066F28"/>
    <w:rsid w:val="000705A8"/>
    <w:rsid w:val="000715DD"/>
    <w:rsid w:val="00071FD9"/>
    <w:rsid w:val="00074111"/>
    <w:rsid w:val="0007461B"/>
    <w:rsid w:val="0007756C"/>
    <w:rsid w:val="00077BAE"/>
    <w:rsid w:val="00083660"/>
    <w:rsid w:val="00084E00"/>
    <w:rsid w:val="00085256"/>
    <w:rsid w:val="0008731E"/>
    <w:rsid w:val="0009027E"/>
    <w:rsid w:val="00090857"/>
    <w:rsid w:val="00090FCD"/>
    <w:rsid w:val="00091C8A"/>
    <w:rsid w:val="000956A7"/>
    <w:rsid w:val="00097899"/>
    <w:rsid w:val="000A03BC"/>
    <w:rsid w:val="000A125F"/>
    <w:rsid w:val="000A1AC8"/>
    <w:rsid w:val="000A4178"/>
    <w:rsid w:val="000A48E3"/>
    <w:rsid w:val="000A4B02"/>
    <w:rsid w:val="000A5BB3"/>
    <w:rsid w:val="000B2B77"/>
    <w:rsid w:val="000B34C0"/>
    <w:rsid w:val="000C3B6D"/>
    <w:rsid w:val="000C5AF3"/>
    <w:rsid w:val="000C7EF4"/>
    <w:rsid w:val="000C7F27"/>
    <w:rsid w:val="000D1450"/>
    <w:rsid w:val="000D32A9"/>
    <w:rsid w:val="000D4C60"/>
    <w:rsid w:val="000E1E4A"/>
    <w:rsid w:val="000E52E8"/>
    <w:rsid w:val="000E6B62"/>
    <w:rsid w:val="000F0A95"/>
    <w:rsid w:val="000F1271"/>
    <w:rsid w:val="000F1B5A"/>
    <w:rsid w:val="000F42E7"/>
    <w:rsid w:val="000F49F7"/>
    <w:rsid w:val="0010283C"/>
    <w:rsid w:val="00102F14"/>
    <w:rsid w:val="00105657"/>
    <w:rsid w:val="0010624F"/>
    <w:rsid w:val="001119DE"/>
    <w:rsid w:val="00111ACC"/>
    <w:rsid w:val="00112F7C"/>
    <w:rsid w:val="00116F31"/>
    <w:rsid w:val="00117262"/>
    <w:rsid w:val="001204FE"/>
    <w:rsid w:val="00120C57"/>
    <w:rsid w:val="0012176A"/>
    <w:rsid w:val="00121AC0"/>
    <w:rsid w:val="001252C9"/>
    <w:rsid w:val="001256C0"/>
    <w:rsid w:val="001260C7"/>
    <w:rsid w:val="001315E6"/>
    <w:rsid w:val="00131A4D"/>
    <w:rsid w:val="00131C26"/>
    <w:rsid w:val="00135EB9"/>
    <w:rsid w:val="001412D8"/>
    <w:rsid w:val="00143EED"/>
    <w:rsid w:val="00145D45"/>
    <w:rsid w:val="001516A9"/>
    <w:rsid w:val="00152E5A"/>
    <w:rsid w:val="00153673"/>
    <w:rsid w:val="00153D99"/>
    <w:rsid w:val="00154844"/>
    <w:rsid w:val="00156A67"/>
    <w:rsid w:val="00156DC5"/>
    <w:rsid w:val="00160176"/>
    <w:rsid w:val="0016193C"/>
    <w:rsid w:val="00162BA2"/>
    <w:rsid w:val="00163AA8"/>
    <w:rsid w:val="0016443A"/>
    <w:rsid w:val="00165321"/>
    <w:rsid w:val="00166D1E"/>
    <w:rsid w:val="00167371"/>
    <w:rsid w:val="00167C6A"/>
    <w:rsid w:val="00172AAB"/>
    <w:rsid w:val="00173681"/>
    <w:rsid w:val="00174868"/>
    <w:rsid w:val="00175811"/>
    <w:rsid w:val="00176DC3"/>
    <w:rsid w:val="0018304A"/>
    <w:rsid w:val="0018377C"/>
    <w:rsid w:val="00184D57"/>
    <w:rsid w:val="00186D66"/>
    <w:rsid w:val="0019426D"/>
    <w:rsid w:val="00194378"/>
    <w:rsid w:val="001A1994"/>
    <w:rsid w:val="001A3392"/>
    <w:rsid w:val="001A3B1D"/>
    <w:rsid w:val="001A4134"/>
    <w:rsid w:val="001A6B8D"/>
    <w:rsid w:val="001B09B4"/>
    <w:rsid w:val="001B0CA7"/>
    <w:rsid w:val="001B32FC"/>
    <w:rsid w:val="001B50CB"/>
    <w:rsid w:val="001B5347"/>
    <w:rsid w:val="001C1E0D"/>
    <w:rsid w:val="001C4888"/>
    <w:rsid w:val="001C5E87"/>
    <w:rsid w:val="001D1CFF"/>
    <w:rsid w:val="001D5C8A"/>
    <w:rsid w:val="001D73A5"/>
    <w:rsid w:val="001D7E70"/>
    <w:rsid w:val="001E2878"/>
    <w:rsid w:val="001E2D83"/>
    <w:rsid w:val="001E4D25"/>
    <w:rsid w:val="001E59D7"/>
    <w:rsid w:val="001E6252"/>
    <w:rsid w:val="001E653F"/>
    <w:rsid w:val="001F0539"/>
    <w:rsid w:val="001F2188"/>
    <w:rsid w:val="001F24E5"/>
    <w:rsid w:val="001F4F2C"/>
    <w:rsid w:val="001F682D"/>
    <w:rsid w:val="001F6D66"/>
    <w:rsid w:val="001F7200"/>
    <w:rsid w:val="00201C41"/>
    <w:rsid w:val="00202163"/>
    <w:rsid w:val="00206854"/>
    <w:rsid w:val="0021018F"/>
    <w:rsid w:val="002112F2"/>
    <w:rsid w:val="00213B76"/>
    <w:rsid w:val="00215B0F"/>
    <w:rsid w:val="00221C68"/>
    <w:rsid w:val="00222399"/>
    <w:rsid w:val="002223CB"/>
    <w:rsid w:val="00225A0B"/>
    <w:rsid w:val="00226AF9"/>
    <w:rsid w:val="002326E7"/>
    <w:rsid w:val="00233569"/>
    <w:rsid w:val="00240783"/>
    <w:rsid w:val="00241DDC"/>
    <w:rsid w:val="00242091"/>
    <w:rsid w:val="002423C7"/>
    <w:rsid w:val="00243A31"/>
    <w:rsid w:val="0024717F"/>
    <w:rsid w:val="0025087E"/>
    <w:rsid w:val="00251516"/>
    <w:rsid w:val="00252192"/>
    <w:rsid w:val="00252857"/>
    <w:rsid w:val="00253B4D"/>
    <w:rsid w:val="00253DE3"/>
    <w:rsid w:val="00254144"/>
    <w:rsid w:val="002545E9"/>
    <w:rsid w:val="00254846"/>
    <w:rsid w:val="00254AA4"/>
    <w:rsid w:val="00255082"/>
    <w:rsid w:val="00255366"/>
    <w:rsid w:val="00256599"/>
    <w:rsid w:val="00262844"/>
    <w:rsid w:val="00262924"/>
    <w:rsid w:val="00266A1C"/>
    <w:rsid w:val="00270D9D"/>
    <w:rsid w:val="002756BC"/>
    <w:rsid w:val="00275AD9"/>
    <w:rsid w:val="00285A5F"/>
    <w:rsid w:val="0028670B"/>
    <w:rsid w:val="00292650"/>
    <w:rsid w:val="002926DA"/>
    <w:rsid w:val="00294497"/>
    <w:rsid w:val="00294DF7"/>
    <w:rsid w:val="0029714C"/>
    <w:rsid w:val="002A2BEA"/>
    <w:rsid w:val="002A5128"/>
    <w:rsid w:val="002A7ABD"/>
    <w:rsid w:val="002A7FBD"/>
    <w:rsid w:val="002B0FAE"/>
    <w:rsid w:val="002B1A97"/>
    <w:rsid w:val="002B24E6"/>
    <w:rsid w:val="002B4897"/>
    <w:rsid w:val="002B58A9"/>
    <w:rsid w:val="002C1399"/>
    <w:rsid w:val="002C1911"/>
    <w:rsid w:val="002C349D"/>
    <w:rsid w:val="002D2D33"/>
    <w:rsid w:val="002D4B11"/>
    <w:rsid w:val="002D5E08"/>
    <w:rsid w:val="002E2E0B"/>
    <w:rsid w:val="002E351F"/>
    <w:rsid w:val="002E7B27"/>
    <w:rsid w:val="002F1671"/>
    <w:rsid w:val="002F2034"/>
    <w:rsid w:val="002F5F62"/>
    <w:rsid w:val="002F7A2E"/>
    <w:rsid w:val="003001F8"/>
    <w:rsid w:val="00300BF1"/>
    <w:rsid w:val="00301CB6"/>
    <w:rsid w:val="00304CA0"/>
    <w:rsid w:val="00304CDD"/>
    <w:rsid w:val="00304D41"/>
    <w:rsid w:val="00307275"/>
    <w:rsid w:val="003072AF"/>
    <w:rsid w:val="00313873"/>
    <w:rsid w:val="00314344"/>
    <w:rsid w:val="00315B8B"/>
    <w:rsid w:val="00322EC5"/>
    <w:rsid w:val="003235D4"/>
    <w:rsid w:val="003235E6"/>
    <w:rsid w:val="00323B46"/>
    <w:rsid w:val="0032699E"/>
    <w:rsid w:val="00326C8E"/>
    <w:rsid w:val="003306DF"/>
    <w:rsid w:val="003307CC"/>
    <w:rsid w:val="0033142D"/>
    <w:rsid w:val="00332E3A"/>
    <w:rsid w:val="00333EE1"/>
    <w:rsid w:val="00336E3F"/>
    <w:rsid w:val="0033749C"/>
    <w:rsid w:val="00337605"/>
    <w:rsid w:val="00340CDE"/>
    <w:rsid w:val="00340E08"/>
    <w:rsid w:val="003424CC"/>
    <w:rsid w:val="00342E3D"/>
    <w:rsid w:val="00343CC2"/>
    <w:rsid w:val="00346C0C"/>
    <w:rsid w:val="00353127"/>
    <w:rsid w:val="003550EE"/>
    <w:rsid w:val="003558A5"/>
    <w:rsid w:val="003562B8"/>
    <w:rsid w:val="003570ED"/>
    <w:rsid w:val="0035722B"/>
    <w:rsid w:val="00357534"/>
    <w:rsid w:val="00360D28"/>
    <w:rsid w:val="00360D87"/>
    <w:rsid w:val="00362499"/>
    <w:rsid w:val="00363536"/>
    <w:rsid w:val="0036489A"/>
    <w:rsid w:val="00365970"/>
    <w:rsid w:val="00366122"/>
    <w:rsid w:val="003700CD"/>
    <w:rsid w:val="00374268"/>
    <w:rsid w:val="0037547F"/>
    <w:rsid w:val="00376B2A"/>
    <w:rsid w:val="00380DA6"/>
    <w:rsid w:val="0038381F"/>
    <w:rsid w:val="003840EE"/>
    <w:rsid w:val="0038685C"/>
    <w:rsid w:val="003874D5"/>
    <w:rsid w:val="00393B8F"/>
    <w:rsid w:val="00394465"/>
    <w:rsid w:val="0039490A"/>
    <w:rsid w:val="0039502C"/>
    <w:rsid w:val="00396E79"/>
    <w:rsid w:val="003A0D25"/>
    <w:rsid w:val="003A1C8F"/>
    <w:rsid w:val="003A3598"/>
    <w:rsid w:val="003A3F73"/>
    <w:rsid w:val="003A4F5B"/>
    <w:rsid w:val="003A519E"/>
    <w:rsid w:val="003A6B76"/>
    <w:rsid w:val="003B1504"/>
    <w:rsid w:val="003B25CD"/>
    <w:rsid w:val="003B2B1C"/>
    <w:rsid w:val="003B4A2A"/>
    <w:rsid w:val="003B5E7D"/>
    <w:rsid w:val="003B68FD"/>
    <w:rsid w:val="003C0160"/>
    <w:rsid w:val="003C1324"/>
    <w:rsid w:val="003C2A63"/>
    <w:rsid w:val="003C698F"/>
    <w:rsid w:val="003C7601"/>
    <w:rsid w:val="003D33FD"/>
    <w:rsid w:val="003D5528"/>
    <w:rsid w:val="003E02F0"/>
    <w:rsid w:val="003E05EF"/>
    <w:rsid w:val="003E23EB"/>
    <w:rsid w:val="003E310E"/>
    <w:rsid w:val="003E3E1D"/>
    <w:rsid w:val="003E4C82"/>
    <w:rsid w:val="003E604F"/>
    <w:rsid w:val="003E7D52"/>
    <w:rsid w:val="003F32AE"/>
    <w:rsid w:val="003F5466"/>
    <w:rsid w:val="0040239C"/>
    <w:rsid w:val="004033B7"/>
    <w:rsid w:val="00403D30"/>
    <w:rsid w:val="0040554B"/>
    <w:rsid w:val="00407C91"/>
    <w:rsid w:val="0041283E"/>
    <w:rsid w:val="00413A16"/>
    <w:rsid w:val="00413ACA"/>
    <w:rsid w:val="004161AE"/>
    <w:rsid w:val="00416D69"/>
    <w:rsid w:val="004262DA"/>
    <w:rsid w:val="00430F0C"/>
    <w:rsid w:val="004340C3"/>
    <w:rsid w:val="004374B6"/>
    <w:rsid w:val="00442B66"/>
    <w:rsid w:val="00443604"/>
    <w:rsid w:val="00445413"/>
    <w:rsid w:val="00445FCA"/>
    <w:rsid w:val="004557D5"/>
    <w:rsid w:val="004625DA"/>
    <w:rsid w:val="0046278E"/>
    <w:rsid w:val="00463B6F"/>
    <w:rsid w:val="00465E81"/>
    <w:rsid w:val="00465FBC"/>
    <w:rsid w:val="0046612E"/>
    <w:rsid w:val="004720B9"/>
    <w:rsid w:val="00472983"/>
    <w:rsid w:val="00473112"/>
    <w:rsid w:val="004737BB"/>
    <w:rsid w:val="004762DE"/>
    <w:rsid w:val="004829D1"/>
    <w:rsid w:val="00484701"/>
    <w:rsid w:val="00484FC5"/>
    <w:rsid w:val="00486D0F"/>
    <w:rsid w:val="00487B51"/>
    <w:rsid w:val="00491872"/>
    <w:rsid w:val="00492734"/>
    <w:rsid w:val="00495B09"/>
    <w:rsid w:val="00496916"/>
    <w:rsid w:val="004979B5"/>
    <w:rsid w:val="004A0680"/>
    <w:rsid w:val="004A2E76"/>
    <w:rsid w:val="004A3370"/>
    <w:rsid w:val="004A73D3"/>
    <w:rsid w:val="004B0597"/>
    <w:rsid w:val="004B50B7"/>
    <w:rsid w:val="004C034B"/>
    <w:rsid w:val="004C0844"/>
    <w:rsid w:val="004C1734"/>
    <w:rsid w:val="004C3D33"/>
    <w:rsid w:val="004C65F3"/>
    <w:rsid w:val="004C7146"/>
    <w:rsid w:val="004C746F"/>
    <w:rsid w:val="004D1886"/>
    <w:rsid w:val="004D3095"/>
    <w:rsid w:val="004D3DA6"/>
    <w:rsid w:val="004D470D"/>
    <w:rsid w:val="004D5B6E"/>
    <w:rsid w:val="004D6665"/>
    <w:rsid w:val="004E0FEA"/>
    <w:rsid w:val="004E2C94"/>
    <w:rsid w:val="004E35C3"/>
    <w:rsid w:val="004E4461"/>
    <w:rsid w:val="004E5B45"/>
    <w:rsid w:val="004E6951"/>
    <w:rsid w:val="004F0090"/>
    <w:rsid w:val="004F0A17"/>
    <w:rsid w:val="004F4F69"/>
    <w:rsid w:val="004F7674"/>
    <w:rsid w:val="0050204D"/>
    <w:rsid w:val="0050211A"/>
    <w:rsid w:val="005030EF"/>
    <w:rsid w:val="0050681E"/>
    <w:rsid w:val="0050768A"/>
    <w:rsid w:val="005076A6"/>
    <w:rsid w:val="00507808"/>
    <w:rsid w:val="00510536"/>
    <w:rsid w:val="005152AF"/>
    <w:rsid w:val="00515473"/>
    <w:rsid w:val="00516617"/>
    <w:rsid w:val="00517EA9"/>
    <w:rsid w:val="00520A0B"/>
    <w:rsid w:val="00523D2E"/>
    <w:rsid w:val="0052500A"/>
    <w:rsid w:val="005254D9"/>
    <w:rsid w:val="005263C3"/>
    <w:rsid w:val="00526AA7"/>
    <w:rsid w:val="00527617"/>
    <w:rsid w:val="00527C6A"/>
    <w:rsid w:val="00530B22"/>
    <w:rsid w:val="00531891"/>
    <w:rsid w:val="00532160"/>
    <w:rsid w:val="00532F6D"/>
    <w:rsid w:val="0053326B"/>
    <w:rsid w:val="005360CE"/>
    <w:rsid w:val="00540011"/>
    <w:rsid w:val="005429C6"/>
    <w:rsid w:val="005438FB"/>
    <w:rsid w:val="00545600"/>
    <w:rsid w:val="005459AF"/>
    <w:rsid w:val="0055137B"/>
    <w:rsid w:val="00551D8D"/>
    <w:rsid w:val="005524DD"/>
    <w:rsid w:val="00552707"/>
    <w:rsid w:val="0055465C"/>
    <w:rsid w:val="005547D2"/>
    <w:rsid w:val="00554C81"/>
    <w:rsid w:val="005550DE"/>
    <w:rsid w:val="0055799E"/>
    <w:rsid w:val="00560CF0"/>
    <w:rsid w:val="00561CE6"/>
    <w:rsid w:val="00562C94"/>
    <w:rsid w:val="00566B6E"/>
    <w:rsid w:val="005674E4"/>
    <w:rsid w:val="0057176A"/>
    <w:rsid w:val="005728E8"/>
    <w:rsid w:val="00573263"/>
    <w:rsid w:val="00575425"/>
    <w:rsid w:val="0057542C"/>
    <w:rsid w:val="005758DC"/>
    <w:rsid w:val="00576A15"/>
    <w:rsid w:val="00577F38"/>
    <w:rsid w:val="00580BD8"/>
    <w:rsid w:val="0058284D"/>
    <w:rsid w:val="00583003"/>
    <w:rsid w:val="00583442"/>
    <w:rsid w:val="00583952"/>
    <w:rsid w:val="005848E5"/>
    <w:rsid w:val="00584C03"/>
    <w:rsid w:val="00585E4B"/>
    <w:rsid w:val="00586997"/>
    <w:rsid w:val="0058796B"/>
    <w:rsid w:val="00590679"/>
    <w:rsid w:val="0059238A"/>
    <w:rsid w:val="0059366F"/>
    <w:rsid w:val="005A2631"/>
    <w:rsid w:val="005A3F0C"/>
    <w:rsid w:val="005A4185"/>
    <w:rsid w:val="005A420A"/>
    <w:rsid w:val="005A77B5"/>
    <w:rsid w:val="005A7BD7"/>
    <w:rsid w:val="005B5DE6"/>
    <w:rsid w:val="005B792A"/>
    <w:rsid w:val="005C1014"/>
    <w:rsid w:val="005C5AA3"/>
    <w:rsid w:val="005C61A4"/>
    <w:rsid w:val="005C6893"/>
    <w:rsid w:val="005D02B9"/>
    <w:rsid w:val="005D06E8"/>
    <w:rsid w:val="005D0D9A"/>
    <w:rsid w:val="005D2F1A"/>
    <w:rsid w:val="005D3CB9"/>
    <w:rsid w:val="005D573C"/>
    <w:rsid w:val="005D74BE"/>
    <w:rsid w:val="005D7CF1"/>
    <w:rsid w:val="005E1903"/>
    <w:rsid w:val="005E2AA6"/>
    <w:rsid w:val="005E3600"/>
    <w:rsid w:val="005E3C79"/>
    <w:rsid w:val="005F203D"/>
    <w:rsid w:val="005F2A6F"/>
    <w:rsid w:val="005F3705"/>
    <w:rsid w:val="005F48BA"/>
    <w:rsid w:val="006010AA"/>
    <w:rsid w:val="0060159D"/>
    <w:rsid w:val="0060489F"/>
    <w:rsid w:val="00604E7C"/>
    <w:rsid w:val="006050E5"/>
    <w:rsid w:val="00606EDA"/>
    <w:rsid w:val="0060757D"/>
    <w:rsid w:val="00610B81"/>
    <w:rsid w:val="00611AB1"/>
    <w:rsid w:val="00611CF3"/>
    <w:rsid w:val="0061228C"/>
    <w:rsid w:val="00613BFA"/>
    <w:rsid w:val="006144A4"/>
    <w:rsid w:val="00616D18"/>
    <w:rsid w:val="006207FB"/>
    <w:rsid w:val="006221DE"/>
    <w:rsid w:val="00622FE4"/>
    <w:rsid w:val="00624550"/>
    <w:rsid w:val="00624B5C"/>
    <w:rsid w:val="006269B1"/>
    <w:rsid w:val="006310E3"/>
    <w:rsid w:val="00631232"/>
    <w:rsid w:val="0063162B"/>
    <w:rsid w:val="00636E1D"/>
    <w:rsid w:val="0064025E"/>
    <w:rsid w:val="00640335"/>
    <w:rsid w:val="00641BDB"/>
    <w:rsid w:val="0064263A"/>
    <w:rsid w:val="006433A2"/>
    <w:rsid w:val="00644AAE"/>
    <w:rsid w:val="006467A5"/>
    <w:rsid w:val="00646B52"/>
    <w:rsid w:val="006500DC"/>
    <w:rsid w:val="00652CB4"/>
    <w:rsid w:val="00655A9B"/>
    <w:rsid w:val="00656CB8"/>
    <w:rsid w:val="00657E90"/>
    <w:rsid w:val="00660B76"/>
    <w:rsid w:val="0066341C"/>
    <w:rsid w:val="00664E91"/>
    <w:rsid w:val="006668AA"/>
    <w:rsid w:val="00666FEA"/>
    <w:rsid w:val="00670F43"/>
    <w:rsid w:val="00671675"/>
    <w:rsid w:val="006746A3"/>
    <w:rsid w:val="00674A93"/>
    <w:rsid w:val="00677D60"/>
    <w:rsid w:val="00681B32"/>
    <w:rsid w:val="00683D58"/>
    <w:rsid w:val="00691B3A"/>
    <w:rsid w:val="00692304"/>
    <w:rsid w:val="00692910"/>
    <w:rsid w:val="006939FB"/>
    <w:rsid w:val="006941D5"/>
    <w:rsid w:val="006968C9"/>
    <w:rsid w:val="0069763B"/>
    <w:rsid w:val="006A128D"/>
    <w:rsid w:val="006A1D08"/>
    <w:rsid w:val="006A24EB"/>
    <w:rsid w:val="006A4568"/>
    <w:rsid w:val="006A6EFE"/>
    <w:rsid w:val="006B1233"/>
    <w:rsid w:val="006B136F"/>
    <w:rsid w:val="006B7137"/>
    <w:rsid w:val="006B7327"/>
    <w:rsid w:val="006C2C31"/>
    <w:rsid w:val="006C3993"/>
    <w:rsid w:val="006C4ED0"/>
    <w:rsid w:val="006E19B6"/>
    <w:rsid w:val="006E2B65"/>
    <w:rsid w:val="006E5FFA"/>
    <w:rsid w:val="006F06D9"/>
    <w:rsid w:val="006F677F"/>
    <w:rsid w:val="00701882"/>
    <w:rsid w:val="00701FF9"/>
    <w:rsid w:val="0070763F"/>
    <w:rsid w:val="00710072"/>
    <w:rsid w:val="0071573C"/>
    <w:rsid w:val="007172D7"/>
    <w:rsid w:val="00717EF9"/>
    <w:rsid w:val="00721EAF"/>
    <w:rsid w:val="00721FD0"/>
    <w:rsid w:val="00722078"/>
    <w:rsid w:val="00722211"/>
    <w:rsid w:val="0072313A"/>
    <w:rsid w:val="00723D39"/>
    <w:rsid w:val="00724CE8"/>
    <w:rsid w:val="007277B9"/>
    <w:rsid w:val="007303E8"/>
    <w:rsid w:val="00734697"/>
    <w:rsid w:val="00740600"/>
    <w:rsid w:val="0074314E"/>
    <w:rsid w:val="0074317C"/>
    <w:rsid w:val="00743BEA"/>
    <w:rsid w:val="007451D1"/>
    <w:rsid w:val="00746DEF"/>
    <w:rsid w:val="00747E8B"/>
    <w:rsid w:val="007507A5"/>
    <w:rsid w:val="007511D9"/>
    <w:rsid w:val="007525E4"/>
    <w:rsid w:val="0076435D"/>
    <w:rsid w:val="0076446F"/>
    <w:rsid w:val="007701F3"/>
    <w:rsid w:val="0077065D"/>
    <w:rsid w:val="007730FE"/>
    <w:rsid w:val="0077342F"/>
    <w:rsid w:val="0077598D"/>
    <w:rsid w:val="007801E1"/>
    <w:rsid w:val="0078190D"/>
    <w:rsid w:val="00784B00"/>
    <w:rsid w:val="007865BF"/>
    <w:rsid w:val="0079072F"/>
    <w:rsid w:val="00790D2E"/>
    <w:rsid w:val="00792DE4"/>
    <w:rsid w:val="00793B8E"/>
    <w:rsid w:val="00795370"/>
    <w:rsid w:val="00795C77"/>
    <w:rsid w:val="007973E2"/>
    <w:rsid w:val="0079750D"/>
    <w:rsid w:val="007A1B08"/>
    <w:rsid w:val="007A2919"/>
    <w:rsid w:val="007A4A28"/>
    <w:rsid w:val="007A624F"/>
    <w:rsid w:val="007A62EC"/>
    <w:rsid w:val="007A6336"/>
    <w:rsid w:val="007B163C"/>
    <w:rsid w:val="007B20D5"/>
    <w:rsid w:val="007B29FC"/>
    <w:rsid w:val="007B2CCE"/>
    <w:rsid w:val="007B44E4"/>
    <w:rsid w:val="007B72E6"/>
    <w:rsid w:val="007C11E3"/>
    <w:rsid w:val="007C1E5A"/>
    <w:rsid w:val="007C4107"/>
    <w:rsid w:val="007C5E16"/>
    <w:rsid w:val="007C6579"/>
    <w:rsid w:val="007C7EB9"/>
    <w:rsid w:val="007D1870"/>
    <w:rsid w:val="007D2B99"/>
    <w:rsid w:val="007D2FD8"/>
    <w:rsid w:val="007D3775"/>
    <w:rsid w:val="007D38D7"/>
    <w:rsid w:val="007D453B"/>
    <w:rsid w:val="007D4F3C"/>
    <w:rsid w:val="007D5DFD"/>
    <w:rsid w:val="007D6483"/>
    <w:rsid w:val="007E0307"/>
    <w:rsid w:val="007E0679"/>
    <w:rsid w:val="007E128F"/>
    <w:rsid w:val="007E16FE"/>
    <w:rsid w:val="007E6C37"/>
    <w:rsid w:val="007E7109"/>
    <w:rsid w:val="007E7F76"/>
    <w:rsid w:val="007F0E0E"/>
    <w:rsid w:val="007F0F28"/>
    <w:rsid w:val="007F113F"/>
    <w:rsid w:val="007F1333"/>
    <w:rsid w:val="007F4552"/>
    <w:rsid w:val="007F4791"/>
    <w:rsid w:val="007F50CE"/>
    <w:rsid w:val="007F5AB6"/>
    <w:rsid w:val="007F7B91"/>
    <w:rsid w:val="008013CE"/>
    <w:rsid w:val="008020DA"/>
    <w:rsid w:val="0080283C"/>
    <w:rsid w:val="00804933"/>
    <w:rsid w:val="008055D8"/>
    <w:rsid w:val="0080743D"/>
    <w:rsid w:val="00807579"/>
    <w:rsid w:val="008078DD"/>
    <w:rsid w:val="0081206B"/>
    <w:rsid w:val="00813F87"/>
    <w:rsid w:val="00816A20"/>
    <w:rsid w:val="00817743"/>
    <w:rsid w:val="00817F29"/>
    <w:rsid w:val="0082152A"/>
    <w:rsid w:val="00826BDD"/>
    <w:rsid w:val="00827E10"/>
    <w:rsid w:val="00833765"/>
    <w:rsid w:val="00834742"/>
    <w:rsid w:val="0083491C"/>
    <w:rsid w:val="00835393"/>
    <w:rsid w:val="008357A9"/>
    <w:rsid w:val="00837085"/>
    <w:rsid w:val="00840067"/>
    <w:rsid w:val="00845840"/>
    <w:rsid w:val="00845C93"/>
    <w:rsid w:val="008470DF"/>
    <w:rsid w:val="00850666"/>
    <w:rsid w:val="00851B09"/>
    <w:rsid w:val="0085647B"/>
    <w:rsid w:val="00856C44"/>
    <w:rsid w:val="008640DE"/>
    <w:rsid w:val="0086468C"/>
    <w:rsid w:val="00864EE3"/>
    <w:rsid w:val="008669B2"/>
    <w:rsid w:val="0086760B"/>
    <w:rsid w:val="008679F3"/>
    <w:rsid w:val="00872C0B"/>
    <w:rsid w:val="008732D9"/>
    <w:rsid w:val="00876563"/>
    <w:rsid w:val="00880647"/>
    <w:rsid w:val="00880855"/>
    <w:rsid w:val="00880864"/>
    <w:rsid w:val="008858A5"/>
    <w:rsid w:val="008862E8"/>
    <w:rsid w:val="0088737D"/>
    <w:rsid w:val="00887C8B"/>
    <w:rsid w:val="008901C2"/>
    <w:rsid w:val="00890303"/>
    <w:rsid w:val="00890EAD"/>
    <w:rsid w:val="008914FA"/>
    <w:rsid w:val="0089203C"/>
    <w:rsid w:val="0089278D"/>
    <w:rsid w:val="008950BE"/>
    <w:rsid w:val="00895FBC"/>
    <w:rsid w:val="00896283"/>
    <w:rsid w:val="00896551"/>
    <w:rsid w:val="00896691"/>
    <w:rsid w:val="008A0F44"/>
    <w:rsid w:val="008A461E"/>
    <w:rsid w:val="008A6CF9"/>
    <w:rsid w:val="008B1519"/>
    <w:rsid w:val="008B2BE4"/>
    <w:rsid w:val="008B3CA8"/>
    <w:rsid w:val="008B58D9"/>
    <w:rsid w:val="008B5CD8"/>
    <w:rsid w:val="008C2578"/>
    <w:rsid w:val="008C482B"/>
    <w:rsid w:val="008C5A91"/>
    <w:rsid w:val="008D31EE"/>
    <w:rsid w:val="008D368B"/>
    <w:rsid w:val="008E420A"/>
    <w:rsid w:val="008F1671"/>
    <w:rsid w:val="008F20BA"/>
    <w:rsid w:val="008F3A06"/>
    <w:rsid w:val="008F5422"/>
    <w:rsid w:val="008F7E0C"/>
    <w:rsid w:val="00907357"/>
    <w:rsid w:val="00907F18"/>
    <w:rsid w:val="00910AE2"/>
    <w:rsid w:val="009132E8"/>
    <w:rsid w:val="0091411F"/>
    <w:rsid w:val="0091443B"/>
    <w:rsid w:val="0091528E"/>
    <w:rsid w:val="00915BC8"/>
    <w:rsid w:val="00916E45"/>
    <w:rsid w:val="00917C8E"/>
    <w:rsid w:val="00920E67"/>
    <w:rsid w:val="0092211A"/>
    <w:rsid w:val="0092278A"/>
    <w:rsid w:val="009238D8"/>
    <w:rsid w:val="00926FCE"/>
    <w:rsid w:val="00930718"/>
    <w:rsid w:val="0093192B"/>
    <w:rsid w:val="00931D47"/>
    <w:rsid w:val="00932984"/>
    <w:rsid w:val="00932C7C"/>
    <w:rsid w:val="00932E34"/>
    <w:rsid w:val="0093300D"/>
    <w:rsid w:val="00933E67"/>
    <w:rsid w:val="00934431"/>
    <w:rsid w:val="00934D3E"/>
    <w:rsid w:val="00935193"/>
    <w:rsid w:val="0093586C"/>
    <w:rsid w:val="00940C7E"/>
    <w:rsid w:val="009413C3"/>
    <w:rsid w:val="00942A59"/>
    <w:rsid w:val="00942AA8"/>
    <w:rsid w:val="009431E2"/>
    <w:rsid w:val="00943421"/>
    <w:rsid w:val="00945201"/>
    <w:rsid w:val="00946C46"/>
    <w:rsid w:val="009478F7"/>
    <w:rsid w:val="0095494F"/>
    <w:rsid w:val="00955F13"/>
    <w:rsid w:val="00957D3A"/>
    <w:rsid w:val="0096188D"/>
    <w:rsid w:val="00962038"/>
    <w:rsid w:val="00963272"/>
    <w:rsid w:val="00963FAA"/>
    <w:rsid w:val="009645AD"/>
    <w:rsid w:val="0097034C"/>
    <w:rsid w:val="00971BE0"/>
    <w:rsid w:val="0097287A"/>
    <w:rsid w:val="00976A6D"/>
    <w:rsid w:val="00977F80"/>
    <w:rsid w:val="00980057"/>
    <w:rsid w:val="00984195"/>
    <w:rsid w:val="00986F44"/>
    <w:rsid w:val="00987C7F"/>
    <w:rsid w:val="0099107F"/>
    <w:rsid w:val="00991970"/>
    <w:rsid w:val="00992757"/>
    <w:rsid w:val="00994938"/>
    <w:rsid w:val="00995876"/>
    <w:rsid w:val="00996BBD"/>
    <w:rsid w:val="00997141"/>
    <w:rsid w:val="009A101B"/>
    <w:rsid w:val="009A32B7"/>
    <w:rsid w:val="009A33F4"/>
    <w:rsid w:val="009A5333"/>
    <w:rsid w:val="009A7E35"/>
    <w:rsid w:val="009B597A"/>
    <w:rsid w:val="009B7382"/>
    <w:rsid w:val="009C1B37"/>
    <w:rsid w:val="009C2548"/>
    <w:rsid w:val="009C3425"/>
    <w:rsid w:val="009C4108"/>
    <w:rsid w:val="009C474C"/>
    <w:rsid w:val="009C477D"/>
    <w:rsid w:val="009C4C23"/>
    <w:rsid w:val="009D031F"/>
    <w:rsid w:val="009D1641"/>
    <w:rsid w:val="009D3F8A"/>
    <w:rsid w:val="009D4A00"/>
    <w:rsid w:val="009D4D13"/>
    <w:rsid w:val="009D68DE"/>
    <w:rsid w:val="009D7370"/>
    <w:rsid w:val="009E2E39"/>
    <w:rsid w:val="009E3E38"/>
    <w:rsid w:val="009E43DE"/>
    <w:rsid w:val="009E4491"/>
    <w:rsid w:val="009E5CA3"/>
    <w:rsid w:val="009E77D6"/>
    <w:rsid w:val="009F07D4"/>
    <w:rsid w:val="009F1EEA"/>
    <w:rsid w:val="009F3F1B"/>
    <w:rsid w:val="009F58F4"/>
    <w:rsid w:val="009F7216"/>
    <w:rsid w:val="009F7BC9"/>
    <w:rsid w:val="00A00267"/>
    <w:rsid w:val="00A018BA"/>
    <w:rsid w:val="00A038A0"/>
    <w:rsid w:val="00A1349F"/>
    <w:rsid w:val="00A14C58"/>
    <w:rsid w:val="00A1623D"/>
    <w:rsid w:val="00A17A65"/>
    <w:rsid w:val="00A2196B"/>
    <w:rsid w:val="00A22616"/>
    <w:rsid w:val="00A23F6C"/>
    <w:rsid w:val="00A2545B"/>
    <w:rsid w:val="00A25796"/>
    <w:rsid w:val="00A25E16"/>
    <w:rsid w:val="00A30D6B"/>
    <w:rsid w:val="00A33B2A"/>
    <w:rsid w:val="00A40645"/>
    <w:rsid w:val="00A41626"/>
    <w:rsid w:val="00A4541E"/>
    <w:rsid w:val="00A456B7"/>
    <w:rsid w:val="00A5498C"/>
    <w:rsid w:val="00A55E6A"/>
    <w:rsid w:val="00A5636D"/>
    <w:rsid w:val="00A572A7"/>
    <w:rsid w:val="00A63DCC"/>
    <w:rsid w:val="00A662B4"/>
    <w:rsid w:val="00A66D52"/>
    <w:rsid w:val="00A75B00"/>
    <w:rsid w:val="00A77E3F"/>
    <w:rsid w:val="00A84E53"/>
    <w:rsid w:val="00A85864"/>
    <w:rsid w:val="00A8651B"/>
    <w:rsid w:val="00A874E5"/>
    <w:rsid w:val="00A87738"/>
    <w:rsid w:val="00A932E3"/>
    <w:rsid w:val="00A95856"/>
    <w:rsid w:val="00AA0142"/>
    <w:rsid w:val="00AA1976"/>
    <w:rsid w:val="00AA1DB2"/>
    <w:rsid w:val="00AA58FE"/>
    <w:rsid w:val="00AA5CF8"/>
    <w:rsid w:val="00AA614F"/>
    <w:rsid w:val="00AA61F7"/>
    <w:rsid w:val="00AA7676"/>
    <w:rsid w:val="00AA7CDD"/>
    <w:rsid w:val="00AB0680"/>
    <w:rsid w:val="00AB1281"/>
    <w:rsid w:val="00AB72C7"/>
    <w:rsid w:val="00AC1F14"/>
    <w:rsid w:val="00AD1933"/>
    <w:rsid w:val="00AD1C86"/>
    <w:rsid w:val="00AD4BA3"/>
    <w:rsid w:val="00AE176B"/>
    <w:rsid w:val="00AE2656"/>
    <w:rsid w:val="00AE4408"/>
    <w:rsid w:val="00AE6B8D"/>
    <w:rsid w:val="00AF28C1"/>
    <w:rsid w:val="00AF3A50"/>
    <w:rsid w:val="00AF4B9A"/>
    <w:rsid w:val="00AF5570"/>
    <w:rsid w:val="00B020BA"/>
    <w:rsid w:val="00B020F0"/>
    <w:rsid w:val="00B02F40"/>
    <w:rsid w:val="00B04E25"/>
    <w:rsid w:val="00B0706B"/>
    <w:rsid w:val="00B07357"/>
    <w:rsid w:val="00B07495"/>
    <w:rsid w:val="00B10623"/>
    <w:rsid w:val="00B1218E"/>
    <w:rsid w:val="00B20B42"/>
    <w:rsid w:val="00B20E27"/>
    <w:rsid w:val="00B2167B"/>
    <w:rsid w:val="00B23A3B"/>
    <w:rsid w:val="00B262BB"/>
    <w:rsid w:val="00B26313"/>
    <w:rsid w:val="00B33397"/>
    <w:rsid w:val="00B33C04"/>
    <w:rsid w:val="00B33DCA"/>
    <w:rsid w:val="00B35E70"/>
    <w:rsid w:val="00B36249"/>
    <w:rsid w:val="00B36DC8"/>
    <w:rsid w:val="00B37001"/>
    <w:rsid w:val="00B40EB6"/>
    <w:rsid w:val="00B430A6"/>
    <w:rsid w:val="00B43E7C"/>
    <w:rsid w:val="00B444DE"/>
    <w:rsid w:val="00B47AF5"/>
    <w:rsid w:val="00B52AA3"/>
    <w:rsid w:val="00B54027"/>
    <w:rsid w:val="00B57766"/>
    <w:rsid w:val="00B57F2E"/>
    <w:rsid w:val="00B60A04"/>
    <w:rsid w:val="00B6261D"/>
    <w:rsid w:val="00B62969"/>
    <w:rsid w:val="00B650F5"/>
    <w:rsid w:val="00B6649C"/>
    <w:rsid w:val="00B704DB"/>
    <w:rsid w:val="00B74CF0"/>
    <w:rsid w:val="00B76130"/>
    <w:rsid w:val="00B7636B"/>
    <w:rsid w:val="00B8167A"/>
    <w:rsid w:val="00B81E17"/>
    <w:rsid w:val="00B820A3"/>
    <w:rsid w:val="00B855D2"/>
    <w:rsid w:val="00B86B4B"/>
    <w:rsid w:val="00B911E7"/>
    <w:rsid w:val="00B92835"/>
    <w:rsid w:val="00B93D8B"/>
    <w:rsid w:val="00BA4FAC"/>
    <w:rsid w:val="00BA6444"/>
    <w:rsid w:val="00BA6C66"/>
    <w:rsid w:val="00BA6D00"/>
    <w:rsid w:val="00BB0931"/>
    <w:rsid w:val="00BB0AEF"/>
    <w:rsid w:val="00BB4D72"/>
    <w:rsid w:val="00BB76A8"/>
    <w:rsid w:val="00BC13F5"/>
    <w:rsid w:val="00BC2B44"/>
    <w:rsid w:val="00BC6521"/>
    <w:rsid w:val="00BC7C58"/>
    <w:rsid w:val="00BD0792"/>
    <w:rsid w:val="00BD1255"/>
    <w:rsid w:val="00BD6014"/>
    <w:rsid w:val="00BD6405"/>
    <w:rsid w:val="00BD650A"/>
    <w:rsid w:val="00BD760F"/>
    <w:rsid w:val="00BE1A97"/>
    <w:rsid w:val="00BE2EB4"/>
    <w:rsid w:val="00BE321D"/>
    <w:rsid w:val="00BE364C"/>
    <w:rsid w:val="00BE4B59"/>
    <w:rsid w:val="00BE4E95"/>
    <w:rsid w:val="00BE4EA8"/>
    <w:rsid w:val="00BE7D27"/>
    <w:rsid w:val="00BF04C9"/>
    <w:rsid w:val="00BF447E"/>
    <w:rsid w:val="00BF5A52"/>
    <w:rsid w:val="00BF5E17"/>
    <w:rsid w:val="00BF77DF"/>
    <w:rsid w:val="00C0344C"/>
    <w:rsid w:val="00C03663"/>
    <w:rsid w:val="00C03E98"/>
    <w:rsid w:val="00C04107"/>
    <w:rsid w:val="00C046A2"/>
    <w:rsid w:val="00C046C0"/>
    <w:rsid w:val="00C0637E"/>
    <w:rsid w:val="00C1157F"/>
    <w:rsid w:val="00C16B7D"/>
    <w:rsid w:val="00C17506"/>
    <w:rsid w:val="00C222C6"/>
    <w:rsid w:val="00C25D54"/>
    <w:rsid w:val="00C26C6A"/>
    <w:rsid w:val="00C33168"/>
    <w:rsid w:val="00C3434F"/>
    <w:rsid w:val="00C348C6"/>
    <w:rsid w:val="00C36124"/>
    <w:rsid w:val="00C432F6"/>
    <w:rsid w:val="00C44628"/>
    <w:rsid w:val="00C456F8"/>
    <w:rsid w:val="00C45C43"/>
    <w:rsid w:val="00C469B1"/>
    <w:rsid w:val="00C47DD0"/>
    <w:rsid w:val="00C52C51"/>
    <w:rsid w:val="00C53E3B"/>
    <w:rsid w:val="00C543FC"/>
    <w:rsid w:val="00C57D7D"/>
    <w:rsid w:val="00C6287D"/>
    <w:rsid w:val="00C62B2F"/>
    <w:rsid w:val="00C63017"/>
    <w:rsid w:val="00C64BBA"/>
    <w:rsid w:val="00C6731E"/>
    <w:rsid w:val="00C70046"/>
    <w:rsid w:val="00C713BA"/>
    <w:rsid w:val="00C72A55"/>
    <w:rsid w:val="00C72F25"/>
    <w:rsid w:val="00C743D3"/>
    <w:rsid w:val="00C76503"/>
    <w:rsid w:val="00C80E9A"/>
    <w:rsid w:val="00C8194D"/>
    <w:rsid w:val="00C81AC4"/>
    <w:rsid w:val="00C81D4C"/>
    <w:rsid w:val="00C82D59"/>
    <w:rsid w:val="00C93A54"/>
    <w:rsid w:val="00C93BC5"/>
    <w:rsid w:val="00C95CFE"/>
    <w:rsid w:val="00CA0D69"/>
    <w:rsid w:val="00CA0EE8"/>
    <w:rsid w:val="00CA3115"/>
    <w:rsid w:val="00CA6724"/>
    <w:rsid w:val="00CB2ED8"/>
    <w:rsid w:val="00CB4918"/>
    <w:rsid w:val="00CB757E"/>
    <w:rsid w:val="00CC0D82"/>
    <w:rsid w:val="00CC1501"/>
    <w:rsid w:val="00CC2721"/>
    <w:rsid w:val="00CC2A42"/>
    <w:rsid w:val="00CC4285"/>
    <w:rsid w:val="00CC42F1"/>
    <w:rsid w:val="00CC5C52"/>
    <w:rsid w:val="00CC616A"/>
    <w:rsid w:val="00CD126F"/>
    <w:rsid w:val="00CD1748"/>
    <w:rsid w:val="00CD2075"/>
    <w:rsid w:val="00CD3D81"/>
    <w:rsid w:val="00CD3DA5"/>
    <w:rsid w:val="00CD5CCB"/>
    <w:rsid w:val="00CD7769"/>
    <w:rsid w:val="00CE5194"/>
    <w:rsid w:val="00CE567A"/>
    <w:rsid w:val="00CE56B0"/>
    <w:rsid w:val="00CE66F1"/>
    <w:rsid w:val="00CE6EA4"/>
    <w:rsid w:val="00CF2BC0"/>
    <w:rsid w:val="00CF3B4C"/>
    <w:rsid w:val="00CF4213"/>
    <w:rsid w:val="00CF54C1"/>
    <w:rsid w:val="00CF7383"/>
    <w:rsid w:val="00D02B53"/>
    <w:rsid w:val="00D04505"/>
    <w:rsid w:val="00D0461F"/>
    <w:rsid w:val="00D0488E"/>
    <w:rsid w:val="00D049B2"/>
    <w:rsid w:val="00D1471D"/>
    <w:rsid w:val="00D15AD4"/>
    <w:rsid w:val="00D17362"/>
    <w:rsid w:val="00D20F2A"/>
    <w:rsid w:val="00D30864"/>
    <w:rsid w:val="00D32DC1"/>
    <w:rsid w:val="00D35EB2"/>
    <w:rsid w:val="00D36A1D"/>
    <w:rsid w:val="00D41134"/>
    <w:rsid w:val="00D513E1"/>
    <w:rsid w:val="00D51A33"/>
    <w:rsid w:val="00D52BD9"/>
    <w:rsid w:val="00D541B4"/>
    <w:rsid w:val="00D545BD"/>
    <w:rsid w:val="00D546A1"/>
    <w:rsid w:val="00D54C96"/>
    <w:rsid w:val="00D574E9"/>
    <w:rsid w:val="00D61472"/>
    <w:rsid w:val="00D639D4"/>
    <w:rsid w:val="00D64723"/>
    <w:rsid w:val="00D657F1"/>
    <w:rsid w:val="00D677A8"/>
    <w:rsid w:val="00D7157F"/>
    <w:rsid w:val="00D71BB5"/>
    <w:rsid w:val="00D72348"/>
    <w:rsid w:val="00D7387A"/>
    <w:rsid w:val="00D80D77"/>
    <w:rsid w:val="00DA1941"/>
    <w:rsid w:val="00DA2B9E"/>
    <w:rsid w:val="00DA3D2E"/>
    <w:rsid w:val="00DA4145"/>
    <w:rsid w:val="00DA41C4"/>
    <w:rsid w:val="00DA7742"/>
    <w:rsid w:val="00DB18D6"/>
    <w:rsid w:val="00DB28C6"/>
    <w:rsid w:val="00DB2C1F"/>
    <w:rsid w:val="00DB2E2C"/>
    <w:rsid w:val="00DB3DE0"/>
    <w:rsid w:val="00DB6A4C"/>
    <w:rsid w:val="00DB6BFC"/>
    <w:rsid w:val="00DB772D"/>
    <w:rsid w:val="00DB7A6D"/>
    <w:rsid w:val="00DC0C16"/>
    <w:rsid w:val="00DC12D8"/>
    <w:rsid w:val="00DC483E"/>
    <w:rsid w:val="00DC5F0E"/>
    <w:rsid w:val="00DC61DA"/>
    <w:rsid w:val="00DC73D9"/>
    <w:rsid w:val="00DD0D3C"/>
    <w:rsid w:val="00DD3F05"/>
    <w:rsid w:val="00DD631F"/>
    <w:rsid w:val="00DE2E5F"/>
    <w:rsid w:val="00DE3697"/>
    <w:rsid w:val="00DE7C0F"/>
    <w:rsid w:val="00DE7C19"/>
    <w:rsid w:val="00DF10A3"/>
    <w:rsid w:val="00DF51AB"/>
    <w:rsid w:val="00DF51DB"/>
    <w:rsid w:val="00E0024E"/>
    <w:rsid w:val="00E009FA"/>
    <w:rsid w:val="00E02CFE"/>
    <w:rsid w:val="00E041F8"/>
    <w:rsid w:val="00E05770"/>
    <w:rsid w:val="00E05875"/>
    <w:rsid w:val="00E10592"/>
    <w:rsid w:val="00E11954"/>
    <w:rsid w:val="00E13209"/>
    <w:rsid w:val="00E143CD"/>
    <w:rsid w:val="00E15C8B"/>
    <w:rsid w:val="00E210A2"/>
    <w:rsid w:val="00E22980"/>
    <w:rsid w:val="00E232F4"/>
    <w:rsid w:val="00E25530"/>
    <w:rsid w:val="00E27705"/>
    <w:rsid w:val="00E329F1"/>
    <w:rsid w:val="00E3436C"/>
    <w:rsid w:val="00E347B1"/>
    <w:rsid w:val="00E35538"/>
    <w:rsid w:val="00E363A2"/>
    <w:rsid w:val="00E36536"/>
    <w:rsid w:val="00E36A52"/>
    <w:rsid w:val="00E40100"/>
    <w:rsid w:val="00E411FC"/>
    <w:rsid w:val="00E438FC"/>
    <w:rsid w:val="00E43C4A"/>
    <w:rsid w:val="00E43F86"/>
    <w:rsid w:val="00E441ED"/>
    <w:rsid w:val="00E505C7"/>
    <w:rsid w:val="00E5282C"/>
    <w:rsid w:val="00E53969"/>
    <w:rsid w:val="00E55868"/>
    <w:rsid w:val="00E56BC5"/>
    <w:rsid w:val="00E56DAA"/>
    <w:rsid w:val="00E608B8"/>
    <w:rsid w:val="00E61169"/>
    <w:rsid w:val="00E61DA3"/>
    <w:rsid w:val="00E62716"/>
    <w:rsid w:val="00E63A05"/>
    <w:rsid w:val="00E63C9A"/>
    <w:rsid w:val="00E66C62"/>
    <w:rsid w:val="00E71846"/>
    <w:rsid w:val="00E7447F"/>
    <w:rsid w:val="00E80ABD"/>
    <w:rsid w:val="00E81A9E"/>
    <w:rsid w:val="00E8259C"/>
    <w:rsid w:val="00E82858"/>
    <w:rsid w:val="00E8299E"/>
    <w:rsid w:val="00E839CF"/>
    <w:rsid w:val="00E84BFF"/>
    <w:rsid w:val="00E85312"/>
    <w:rsid w:val="00E85F86"/>
    <w:rsid w:val="00E860C3"/>
    <w:rsid w:val="00E92295"/>
    <w:rsid w:val="00E923AE"/>
    <w:rsid w:val="00E927F4"/>
    <w:rsid w:val="00E96C26"/>
    <w:rsid w:val="00EA04FC"/>
    <w:rsid w:val="00EA1C54"/>
    <w:rsid w:val="00EA1F01"/>
    <w:rsid w:val="00EB028C"/>
    <w:rsid w:val="00EB116A"/>
    <w:rsid w:val="00EB1D7A"/>
    <w:rsid w:val="00EB2F2C"/>
    <w:rsid w:val="00EB3FCC"/>
    <w:rsid w:val="00EB4167"/>
    <w:rsid w:val="00EB65A3"/>
    <w:rsid w:val="00EB76D2"/>
    <w:rsid w:val="00EB7E21"/>
    <w:rsid w:val="00EC06CE"/>
    <w:rsid w:val="00EC1316"/>
    <w:rsid w:val="00EC1772"/>
    <w:rsid w:val="00EC6CCF"/>
    <w:rsid w:val="00ED2355"/>
    <w:rsid w:val="00ED449D"/>
    <w:rsid w:val="00ED616B"/>
    <w:rsid w:val="00ED6180"/>
    <w:rsid w:val="00ED6302"/>
    <w:rsid w:val="00EE22DB"/>
    <w:rsid w:val="00EE237C"/>
    <w:rsid w:val="00EE2CAF"/>
    <w:rsid w:val="00EE7245"/>
    <w:rsid w:val="00EF19F9"/>
    <w:rsid w:val="00EF5AAD"/>
    <w:rsid w:val="00EF7E76"/>
    <w:rsid w:val="00F04B25"/>
    <w:rsid w:val="00F0654B"/>
    <w:rsid w:val="00F12D5C"/>
    <w:rsid w:val="00F14002"/>
    <w:rsid w:val="00F14E53"/>
    <w:rsid w:val="00F14FD5"/>
    <w:rsid w:val="00F158F3"/>
    <w:rsid w:val="00F21403"/>
    <w:rsid w:val="00F22906"/>
    <w:rsid w:val="00F24147"/>
    <w:rsid w:val="00F24270"/>
    <w:rsid w:val="00F324C7"/>
    <w:rsid w:val="00F35692"/>
    <w:rsid w:val="00F3637C"/>
    <w:rsid w:val="00F40988"/>
    <w:rsid w:val="00F41C98"/>
    <w:rsid w:val="00F42112"/>
    <w:rsid w:val="00F423D4"/>
    <w:rsid w:val="00F42A1D"/>
    <w:rsid w:val="00F431CE"/>
    <w:rsid w:val="00F4491E"/>
    <w:rsid w:val="00F4614A"/>
    <w:rsid w:val="00F46F2E"/>
    <w:rsid w:val="00F479E8"/>
    <w:rsid w:val="00F5229F"/>
    <w:rsid w:val="00F52848"/>
    <w:rsid w:val="00F52B50"/>
    <w:rsid w:val="00F53529"/>
    <w:rsid w:val="00F54CCD"/>
    <w:rsid w:val="00F550C9"/>
    <w:rsid w:val="00F62D23"/>
    <w:rsid w:val="00F637B0"/>
    <w:rsid w:val="00F64CC8"/>
    <w:rsid w:val="00F675AF"/>
    <w:rsid w:val="00F7058B"/>
    <w:rsid w:val="00F72E78"/>
    <w:rsid w:val="00F7550A"/>
    <w:rsid w:val="00F7563D"/>
    <w:rsid w:val="00F776CD"/>
    <w:rsid w:val="00F80842"/>
    <w:rsid w:val="00F80DD4"/>
    <w:rsid w:val="00F84D25"/>
    <w:rsid w:val="00F902CD"/>
    <w:rsid w:val="00F91337"/>
    <w:rsid w:val="00F922FC"/>
    <w:rsid w:val="00F95D37"/>
    <w:rsid w:val="00F96361"/>
    <w:rsid w:val="00F97677"/>
    <w:rsid w:val="00FA025B"/>
    <w:rsid w:val="00FA0F20"/>
    <w:rsid w:val="00FA6248"/>
    <w:rsid w:val="00FA6C20"/>
    <w:rsid w:val="00FB1487"/>
    <w:rsid w:val="00FB2316"/>
    <w:rsid w:val="00FB4C16"/>
    <w:rsid w:val="00FB5141"/>
    <w:rsid w:val="00FB5253"/>
    <w:rsid w:val="00FB5306"/>
    <w:rsid w:val="00FB5688"/>
    <w:rsid w:val="00FB5EFA"/>
    <w:rsid w:val="00FC02EF"/>
    <w:rsid w:val="00FC0C00"/>
    <w:rsid w:val="00FC3154"/>
    <w:rsid w:val="00FC5993"/>
    <w:rsid w:val="00FD0969"/>
    <w:rsid w:val="00FD261D"/>
    <w:rsid w:val="00FD613E"/>
    <w:rsid w:val="00FD620F"/>
    <w:rsid w:val="00FD6FCC"/>
    <w:rsid w:val="00FD7698"/>
    <w:rsid w:val="00FD7B8F"/>
    <w:rsid w:val="00FE0851"/>
    <w:rsid w:val="00FE3C17"/>
    <w:rsid w:val="00FE65DB"/>
    <w:rsid w:val="00FE6AE9"/>
    <w:rsid w:val="00FE7AA0"/>
    <w:rsid w:val="00FF1B42"/>
    <w:rsid w:val="00FF1BFB"/>
    <w:rsid w:val="00FF412B"/>
    <w:rsid w:val="00FF5465"/>
    <w:rsid w:val="00FF671D"/>
    <w:rsid w:val="00FF6B66"/>
    <w:rsid w:val="00FF74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D3C8CD-CC1E-4AE5-B242-1384B0C8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DE"/>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83D58"/>
    <w:pPr>
      <w:ind w:left="720"/>
      <w:contextualSpacing/>
    </w:pPr>
  </w:style>
  <w:style w:type="paragraph" w:styleId="BalloonText">
    <w:name w:val="Balloon Text"/>
    <w:basedOn w:val="Normal"/>
    <w:link w:val="BalloonTextChar"/>
    <w:uiPriority w:val="99"/>
    <w:semiHidden/>
    <w:unhideWhenUsed/>
    <w:rsid w:val="00856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44"/>
    <w:rPr>
      <w:rFonts w:ascii="Tahoma" w:eastAsia="Calibri" w:hAnsi="Tahoma" w:cs="Tahoma"/>
      <w:sz w:val="16"/>
      <w:szCs w:val="16"/>
      <w:lang w:val="en-US"/>
    </w:rPr>
  </w:style>
  <w:style w:type="paragraph" w:styleId="Header">
    <w:name w:val="header"/>
    <w:basedOn w:val="Normal"/>
    <w:link w:val="HeaderChar"/>
    <w:uiPriority w:val="99"/>
    <w:unhideWhenUsed/>
    <w:rsid w:val="00BE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E95"/>
    <w:rPr>
      <w:rFonts w:ascii="Calibri" w:eastAsia="Calibri" w:hAnsi="Calibri" w:cs="Times New Roman"/>
      <w:lang w:val="en-US"/>
    </w:rPr>
  </w:style>
  <w:style w:type="paragraph" w:styleId="Footer">
    <w:name w:val="footer"/>
    <w:basedOn w:val="Normal"/>
    <w:link w:val="FooterChar"/>
    <w:uiPriority w:val="99"/>
    <w:unhideWhenUsed/>
    <w:rsid w:val="00BE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E95"/>
    <w:rPr>
      <w:rFonts w:ascii="Calibri" w:eastAsia="Calibri" w:hAnsi="Calibri" w:cs="Times New Roman"/>
      <w:lang w:val="en-US"/>
    </w:rPr>
  </w:style>
  <w:style w:type="table" w:customStyle="1" w:styleId="TableGrid11">
    <w:name w:val="Table Grid11"/>
    <w:basedOn w:val="TableNormal"/>
    <w:next w:val="TableGrid"/>
    <w:uiPriority w:val="59"/>
    <w:rsid w:val="00486D0F"/>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238D8"/>
    <w:pPr>
      <w:spacing w:after="0" w:line="240" w:lineRule="auto"/>
    </w:pPr>
    <w:rPr>
      <w:sz w:val="20"/>
      <w:szCs w:val="20"/>
    </w:rPr>
  </w:style>
  <w:style w:type="character" w:customStyle="1" w:styleId="FootnoteTextChar">
    <w:name w:val="Footnote Text Char"/>
    <w:basedOn w:val="DefaultParagraphFont"/>
    <w:link w:val="FootnoteText"/>
    <w:semiHidden/>
    <w:rsid w:val="009238D8"/>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9238D8"/>
    <w:rPr>
      <w:vertAlign w:val="superscript"/>
    </w:rPr>
  </w:style>
  <w:style w:type="paragraph" w:styleId="BodyTextIndent">
    <w:name w:val="Body Text Indent"/>
    <w:basedOn w:val="Normal"/>
    <w:link w:val="BodyTextIndentChar"/>
    <w:rsid w:val="00445413"/>
    <w:pPr>
      <w:widowControl w:val="0"/>
      <w:spacing w:after="0" w:line="0" w:lineRule="atLeast"/>
      <w:ind w:firstLineChars="300" w:firstLine="563"/>
      <w:jc w:val="both"/>
    </w:pPr>
    <w:rPr>
      <w:rFonts w:ascii="Times New Roman" w:eastAsia="MS Mincho" w:hAnsi="Times New Roman"/>
      <w:kern w:val="2"/>
      <w:sz w:val="20"/>
      <w:szCs w:val="24"/>
      <w:lang w:val="en-IN" w:eastAsia="ja-JP"/>
    </w:rPr>
  </w:style>
  <w:style w:type="character" w:customStyle="1" w:styleId="BodyTextIndentChar">
    <w:name w:val="Body Text Indent Char"/>
    <w:basedOn w:val="DefaultParagraphFont"/>
    <w:link w:val="BodyTextIndent"/>
    <w:rsid w:val="00445413"/>
    <w:rPr>
      <w:rFonts w:ascii="Times New Roman" w:eastAsia="MS Mincho" w:hAnsi="Times New Roman" w:cs="Times New Roman"/>
      <w:kern w:val="2"/>
      <w:sz w:val="20"/>
      <w:szCs w:val="24"/>
      <w:lang w:eastAsia="ja-JP"/>
    </w:rPr>
  </w:style>
  <w:style w:type="paragraph" w:styleId="Title">
    <w:name w:val="Title"/>
    <w:basedOn w:val="Normal"/>
    <w:next w:val="Normal"/>
    <w:link w:val="TitleChar"/>
    <w:uiPriority w:val="10"/>
    <w:qFormat/>
    <w:rsid w:val="001E59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9D7"/>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1381">
      <w:bodyDiv w:val="1"/>
      <w:marLeft w:val="0"/>
      <w:marRight w:val="0"/>
      <w:marTop w:val="0"/>
      <w:marBottom w:val="0"/>
      <w:divBdr>
        <w:top w:val="none" w:sz="0" w:space="0" w:color="auto"/>
        <w:left w:val="none" w:sz="0" w:space="0" w:color="auto"/>
        <w:bottom w:val="none" w:sz="0" w:space="0" w:color="auto"/>
        <w:right w:val="none" w:sz="0" w:space="0" w:color="auto"/>
      </w:divBdr>
    </w:div>
    <w:div w:id="52848043">
      <w:bodyDiv w:val="1"/>
      <w:marLeft w:val="0"/>
      <w:marRight w:val="0"/>
      <w:marTop w:val="0"/>
      <w:marBottom w:val="0"/>
      <w:divBdr>
        <w:top w:val="none" w:sz="0" w:space="0" w:color="auto"/>
        <w:left w:val="none" w:sz="0" w:space="0" w:color="auto"/>
        <w:bottom w:val="none" w:sz="0" w:space="0" w:color="auto"/>
        <w:right w:val="none" w:sz="0" w:space="0" w:color="auto"/>
      </w:divBdr>
    </w:div>
    <w:div w:id="137115989">
      <w:bodyDiv w:val="1"/>
      <w:marLeft w:val="0"/>
      <w:marRight w:val="0"/>
      <w:marTop w:val="0"/>
      <w:marBottom w:val="0"/>
      <w:divBdr>
        <w:top w:val="none" w:sz="0" w:space="0" w:color="auto"/>
        <w:left w:val="none" w:sz="0" w:space="0" w:color="auto"/>
        <w:bottom w:val="none" w:sz="0" w:space="0" w:color="auto"/>
        <w:right w:val="none" w:sz="0" w:space="0" w:color="auto"/>
      </w:divBdr>
    </w:div>
    <w:div w:id="150827701">
      <w:bodyDiv w:val="1"/>
      <w:marLeft w:val="0"/>
      <w:marRight w:val="0"/>
      <w:marTop w:val="0"/>
      <w:marBottom w:val="0"/>
      <w:divBdr>
        <w:top w:val="none" w:sz="0" w:space="0" w:color="auto"/>
        <w:left w:val="none" w:sz="0" w:space="0" w:color="auto"/>
        <w:bottom w:val="none" w:sz="0" w:space="0" w:color="auto"/>
        <w:right w:val="none" w:sz="0" w:space="0" w:color="auto"/>
      </w:divBdr>
    </w:div>
    <w:div w:id="259528927">
      <w:bodyDiv w:val="1"/>
      <w:marLeft w:val="0"/>
      <w:marRight w:val="0"/>
      <w:marTop w:val="0"/>
      <w:marBottom w:val="0"/>
      <w:divBdr>
        <w:top w:val="none" w:sz="0" w:space="0" w:color="auto"/>
        <w:left w:val="none" w:sz="0" w:space="0" w:color="auto"/>
        <w:bottom w:val="none" w:sz="0" w:space="0" w:color="auto"/>
        <w:right w:val="none" w:sz="0" w:space="0" w:color="auto"/>
      </w:divBdr>
    </w:div>
    <w:div w:id="327027601">
      <w:bodyDiv w:val="1"/>
      <w:marLeft w:val="0"/>
      <w:marRight w:val="0"/>
      <w:marTop w:val="0"/>
      <w:marBottom w:val="0"/>
      <w:divBdr>
        <w:top w:val="none" w:sz="0" w:space="0" w:color="auto"/>
        <w:left w:val="none" w:sz="0" w:space="0" w:color="auto"/>
        <w:bottom w:val="none" w:sz="0" w:space="0" w:color="auto"/>
        <w:right w:val="none" w:sz="0" w:space="0" w:color="auto"/>
      </w:divBdr>
    </w:div>
    <w:div w:id="365329621">
      <w:bodyDiv w:val="1"/>
      <w:marLeft w:val="0"/>
      <w:marRight w:val="0"/>
      <w:marTop w:val="0"/>
      <w:marBottom w:val="0"/>
      <w:divBdr>
        <w:top w:val="none" w:sz="0" w:space="0" w:color="auto"/>
        <w:left w:val="none" w:sz="0" w:space="0" w:color="auto"/>
        <w:bottom w:val="none" w:sz="0" w:space="0" w:color="auto"/>
        <w:right w:val="none" w:sz="0" w:space="0" w:color="auto"/>
      </w:divBdr>
    </w:div>
    <w:div w:id="439571730">
      <w:bodyDiv w:val="1"/>
      <w:marLeft w:val="0"/>
      <w:marRight w:val="0"/>
      <w:marTop w:val="0"/>
      <w:marBottom w:val="0"/>
      <w:divBdr>
        <w:top w:val="none" w:sz="0" w:space="0" w:color="auto"/>
        <w:left w:val="none" w:sz="0" w:space="0" w:color="auto"/>
        <w:bottom w:val="none" w:sz="0" w:space="0" w:color="auto"/>
        <w:right w:val="none" w:sz="0" w:space="0" w:color="auto"/>
      </w:divBdr>
    </w:div>
    <w:div w:id="578246961">
      <w:bodyDiv w:val="1"/>
      <w:marLeft w:val="0"/>
      <w:marRight w:val="0"/>
      <w:marTop w:val="0"/>
      <w:marBottom w:val="0"/>
      <w:divBdr>
        <w:top w:val="none" w:sz="0" w:space="0" w:color="auto"/>
        <w:left w:val="none" w:sz="0" w:space="0" w:color="auto"/>
        <w:bottom w:val="none" w:sz="0" w:space="0" w:color="auto"/>
        <w:right w:val="none" w:sz="0" w:space="0" w:color="auto"/>
      </w:divBdr>
    </w:div>
    <w:div w:id="584190837">
      <w:bodyDiv w:val="1"/>
      <w:marLeft w:val="0"/>
      <w:marRight w:val="0"/>
      <w:marTop w:val="0"/>
      <w:marBottom w:val="0"/>
      <w:divBdr>
        <w:top w:val="none" w:sz="0" w:space="0" w:color="auto"/>
        <w:left w:val="none" w:sz="0" w:space="0" w:color="auto"/>
        <w:bottom w:val="none" w:sz="0" w:space="0" w:color="auto"/>
        <w:right w:val="none" w:sz="0" w:space="0" w:color="auto"/>
      </w:divBdr>
    </w:div>
    <w:div w:id="817191890">
      <w:bodyDiv w:val="1"/>
      <w:marLeft w:val="0"/>
      <w:marRight w:val="0"/>
      <w:marTop w:val="0"/>
      <w:marBottom w:val="0"/>
      <w:divBdr>
        <w:top w:val="none" w:sz="0" w:space="0" w:color="auto"/>
        <w:left w:val="none" w:sz="0" w:space="0" w:color="auto"/>
        <w:bottom w:val="none" w:sz="0" w:space="0" w:color="auto"/>
        <w:right w:val="none" w:sz="0" w:space="0" w:color="auto"/>
      </w:divBdr>
    </w:div>
    <w:div w:id="869336452">
      <w:bodyDiv w:val="1"/>
      <w:marLeft w:val="0"/>
      <w:marRight w:val="0"/>
      <w:marTop w:val="0"/>
      <w:marBottom w:val="0"/>
      <w:divBdr>
        <w:top w:val="none" w:sz="0" w:space="0" w:color="auto"/>
        <w:left w:val="none" w:sz="0" w:space="0" w:color="auto"/>
        <w:bottom w:val="none" w:sz="0" w:space="0" w:color="auto"/>
        <w:right w:val="none" w:sz="0" w:space="0" w:color="auto"/>
      </w:divBdr>
    </w:div>
    <w:div w:id="894391913">
      <w:bodyDiv w:val="1"/>
      <w:marLeft w:val="0"/>
      <w:marRight w:val="0"/>
      <w:marTop w:val="0"/>
      <w:marBottom w:val="0"/>
      <w:divBdr>
        <w:top w:val="none" w:sz="0" w:space="0" w:color="auto"/>
        <w:left w:val="none" w:sz="0" w:space="0" w:color="auto"/>
        <w:bottom w:val="none" w:sz="0" w:space="0" w:color="auto"/>
        <w:right w:val="none" w:sz="0" w:space="0" w:color="auto"/>
      </w:divBdr>
    </w:div>
    <w:div w:id="902955819">
      <w:bodyDiv w:val="1"/>
      <w:marLeft w:val="0"/>
      <w:marRight w:val="0"/>
      <w:marTop w:val="0"/>
      <w:marBottom w:val="0"/>
      <w:divBdr>
        <w:top w:val="none" w:sz="0" w:space="0" w:color="auto"/>
        <w:left w:val="none" w:sz="0" w:space="0" w:color="auto"/>
        <w:bottom w:val="none" w:sz="0" w:space="0" w:color="auto"/>
        <w:right w:val="none" w:sz="0" w:space="0" w:color="auto"/>
      </w:divBdr>
    </w:div>
    <w:div w:id="944196021">
      <w:bodyDiv w:val="1"/>
      <w:marLeft w:val="0"/>
      <w:marRight w:val="0"/>
      <w:marTop w:val="0"/>
      <w:marBottom w:val="0"/>
      <w:divBdr>
        <w:top w:val="none" w:sz="0" w:space="0" w:color="auto"/>
        <w:left w:val="none" w:sz="0" w:space="0" w:color="auto"/>
        <w:bottom w:val="none" w:sz="0" w:space="0" w:color="auto"/>
        <w:right w:val="none" w:sz="0" w:space="0" w:color="auto"/>
      </w:divBdr>
    </w:div>
    <w:div w:id="1179389001">
      <w:bodyDiv w:val="1"/>
      <w:marLeft w:val="0"/>
      <w:marRight w:val="0"/>
      <w:marTop w:val="0"/>
      <w:marBottom w:val="0"/>
      <w:divBdr>
        <w:top w:val="none" w:sz="0" w:space="0" w:color="auto"/>
        <w:left w:val="none" w:sz="0" w:space="0" w:color="auto"/>
        <w:bottom w:val="none" w:sz="0" w:space="0" w:color="auto"/>
        <w:right w:val="none" w:sz="0" w:space="0" w:color="auto"/>
      </w:divBdr>
    </w:div>
    <w:div w:id="1237857182">
      <w:bodyDiv w:val="1"/>
      <w:marLeft w:val="0"/>
      <w:marRight w:val="0"/>
      <w:marTop w:val="0"/>
      <w:marBottom w:val="0"/>
      <w:divBdr>
        <w:top w:val="none" w:sz="0" w:space="0" w:color="auto"/>
        <w:left w:val="none" w:sz="0" w:space="0" w:color="auto"/>
        <w:bottom w:val="none" w:sz="0" w:space="0" w:color="auto"/>
        <w:right w:val="none" w:sz="0" w:space="0" w:color="auto"/>
      </w:divBdr>
    </w:div>
    <w:div w:id="1264342149">
      <w:bodyDiv w:val="1"/>
      <w:marLeft w:val="0"/>
      <w:marRight w:val="0"/>
      <w:marTop w:val="0"/>
      <w:marBottom w:val="0"/>
      <w:divBdr>
        <w:top w:val="none" w:sz="0" w:space="0" w:color="auto"/>
        <w:left w:val="none" w:sz="0" w:space="0" w:color="auto"/>
        <w:bottom w:val="none" w:sz="0" w:space="0" w:color="auto"/>
        <w:right w:val="none" w:sz="0" w:space="0" w:color="auto"/>
      </w:divBdr>
    </w:div>
    <w:div w:id="1427505428">
      <w:bodyDiv w:val="1"/>
      <w:marLeft w:val="0"/>
      <w:marRight w:val="0"/>
      <w:marTop w:val="0"/>
      <w:marBottom w:val="0"/>
      <w:divBdr>
        <w:top w:val="none" w:sz="0" w:space="0" w:color="auto"/>
        <w:left w:val="none" w:sz="0" w:space="0" w:color="auto"/>
        <w:bottom w:val="none" w:sz="0" w:space="0" w:color="auto"/>
        <w:right w:val="none" w:sz="0" w:space="0" w:color="auto"/>
      </w:divBdr>
    </w:div>
    <w:div w:id="1462068044">
      <w:bodyDiv w:val="1"/>
      <w:marLeft w:val="0"/>
      <w:marRight w:val="0"/>
      <w:marTop w:val="0"/>
      <w:marBottom w:val="0"/>
      <w:divBdr>
        <w:top w:val="none" w:sz="0" w:space="0" w:color="auto"/>
        <w:left w:val="none" w:sz="0" w:space="0" w:color="auto"/>
        <w:bottom w:val="none" w:sz="0" w:space="0" w:color="auto"/>
        <w:right w:val="none" w:sz="0" w:space="0" w:color="auto"/>
      </w:divBdr>
    </w:div>
    <w:div w:id="1620799835">
      <w:bodyDiv w:val="1"/>
      <w:marLeft w:val="0"/>
      <w:marRight w:val="0"/>
      <w:marTop w:val="0"/>
      <w:marBottom w:val="0"/>
      <w:divBdr>
        <w:top w:val="none" w:sz="0" w:space="0" w:color="auto"/>
        <w:left w:val="none" w:sz="0" w:space="0" w:color="auto"/>
        <w:bottom w:val="none" w:sz="0" w:space="0" w:color="auto"/>
        <w:right w:val="none" w:sz="0" w:space="0" w:color="auto"/>
      </w:divBdr>
    </w:div>
    <w:div w:id="1686907462">
      <w:bodyDiv w:val="1"/>
      <w:marLeft w:val="0"/>
      <w:marRight w:val="0"/>
      <w:marTop w:val="0"/>
      <w:marBottom w:val="0"/>
      <w:divBdr>
        <w:top w:val="none" w:sz="0" w:space="0" w:color="auto"/>
        <w:left w:val="none" w:sz="0" w:space="0" w:color="auto"/>
        <w:bottom w:val="none" w:sz="0" w:space="0" w:color="auto"/>
        <w:right w:val="none" w:sz="0" w:space="0" w:color="auto"/>
      </w:divBdr>
    </w:div>
    <w:div w:id="1740130572">
      <w:bodyDiv w:val="1"/>
      <w:marLeft w:val="0"/>
      <w:marRight w:val="0"/>
      <w:marTop w:val="0"/>
      <w:marBottom w:val="0"/>
      <w:divBdr>
        <w:top w:val="none" w:sz="0" w:space="0" w:color="auto"/>
        <w:left w:val="none" w:sz="0" w:space="0" w:color="auto"/>
        <w:bottom w:val="none" w:sz="0" w:space="0" w:color="auto"/>
        <w:right w:val="none" w:sz="0" w:space="0" w:color="auto"/>
      </w:divBdr>
    </w:div>
    <w:div w:id="18408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Fiscal%20Profile%20Madhya%20Pradesh\Madhya%20Pradesh_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'GDP and GSDP'!$D$6</c:f>
              <c:strCache>
                <c:ptCount val="1"/>
                <c:pt idx="0">
                  <c:v>Sikkim's GSDP</c:v>
                </c:pt>
              </c:strCache>
            </c:strRef>
          </c:tx>
          <c:spPr>
            <a:ln w="38100" cap="flat" cmpd="dbl" algn="ctr">
              <a:solidFill>
                <a:schemeClr val="accent1"/>
              </a:solidFill>
              <a:miter lim="800000"/>
            </a:ln>
            <a:effectLst/>
          </c:spPr>
          <c:marker>
            <c:symbol val="none"/>
          </c:marker>
          <c:dLbls>
            <c:dLbl>
              <c:idx val="1"/>
              <c:layout>
                <c:manualLayout>
                  <c:x val="-2.0847171331306358E-2"/>
                  <c:y val="2.629816251752116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8448931507323959E-2"/>
                  <c:y val="2.62981625175212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3850471661339362E-2"/>
                  <c:y val="1.4174501171794827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'GDP and GSDP'!$C$7:$C$15</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'GDP and GSDP'!$D$7:$D$15</c:f>
              <c:numCache>
                <c:formatCode>0.00</c:formatCode>
                <c:ptCount val="9"/>
                <c:pt idx="0">
                  <c:v>2.2938316272962851</c:v>
                </c:pt>
                <c:pt idx="1">
                  <c:v>6.0662826193049284</c:v>
                </c:pt>
                <c:pt idx="2">
                  <c:v>7.8992832218718547</c:v>
                </c:pt>
                <c:pt idx="3">
                  <c:v>9.9344583318852244</c:v>
                </c:pt>
                <c:pt idx="4">
                  <c:v>7.1524148969857322</c:v>
                </c:pt>
                <c:pt idx="5">
                  <c:v>14.782419310959298</c:v>
                </c:pt>
                <c:pt idx="6">
                  <c:v>5.384466382767954</c:v>
                </c:pt>
                <c:pt idx="7">
                  <c:v>5.7728861827339983</c:v>
                </c:pt>
                <c:pt idx="8">
                  <c:v>3.7267412125296886</c:v>
                </c:pt>
              </c:numCache>
            </c:numRef>
          </c:val>
          <c:smooth val="0"/>
          <c:extLst xmlns:c16r2="http://schemas.microsoft.com/office/drawing/2015/06/chart">
            <c:ext xmlns:c16="http://schemas.microsoft.com/office/drawing/2014/chart" uri="{C3380CC4-5D6E-409C-BE32-E72D297353CC}">
              <c16:uniqueId val="{00000000-DB4A-4CA3-AF88-53AE291ACA75}"/>
            </c:ext>
          </c:extLst>
        </c:ser>
        <c:ser>
          <c:idx val="1"/>
          <c:order val="1"/>
          <c:tx>
            <c:strRef>
              <c:f>'GDP and GSDP'!$E$6</c:f>
              <c:strCache>
                <c:ptCount val="1"/>
                <c:pt idx="0">
                  <c:v>India's GDP</c:v>
                </c:pt>
              </c:strCache>
            </c:strRef>
          </c:tx>
          <c:spPr>
            <a:ln w="38100" cap="flat" cmpd="dbl" algn="ctr">
              <a:solidFill>
                <a:schemeClr val="accent2"/>
              </a:solidFill>
              <a:miter lim="800000"/>
            </a:ln>
            <a:effectLst/>
          </c:spPr>
          <c:marker>
            <c:symbol val="none"/>
          </c:marker>
          <c:dLbls>
            <c:dLbl>
              <c:idx val="1"/>
              <c:layout>
                <c:manualLayout>
                  <c:x val="-2.9648051419315161E-2"/>
                  <c:y val="-5.85674669025636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62487114853218E-2"/>
                  <c:y val="1.821572162037022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3.6248711485321841E-2"/>
                  <c:y val="2.225694206894569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7249811595332765E-2"/>
                  <c:y val="3.438060341467217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2.1677711078194432E-2"/>
                  <c:y val="-5.547300037761717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'GDP and GSDP'!$C$7:$C$15</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'GDP and GSDP'!$E$7:$E$15</c:f>
              <c:numCache>
                <c:formatCode>0.00</c:formatCode>
                <c:ptCount val="9"/>
                <c:pt idx="0">
                  <c:v>5.4563875516469977</c:v>
                </c:pt>
                <c:pt idx="1">
                  <c:v>6.3861064009234951</c:v>
                </c:pt>
                <c:pt idx="2">
                  <c:v>7.4102276051642804</c:v>
                </c:pt>
                <c:pt idx="3">
                  <c:v>7.9962537856652602</c:v>
                </c:pt>
                <c:pt idx="4">
                  <c:v>8.2563055017820943</c:v>
                </c:pt>
                <c:pt idx="5">
                  <c:v>6.7953834189856934</c:v>
                </c:pt>
                <c:pt idx="6">
                  <c:v>6.5329890114187918</c:v>
                </c:pt>
                <c:pt idx="7">
                  <c:v>4.0415541865079518</c:v>
                </c:pt>
                <c:pt idx="8">
                  <c:v>-7.2517547817664365</c:v>
                </c:pt>
              </c:numCache>
            </c:numRef>
          </c:val>
          <c:smooth val="0"/>
          <c:extLst xmlns:c16r2="http://schemas.microsoft.com/office/drawing/2015/06/chart">
            <c:ext xmlns:c16="http://schemas.microsoft.com/office/drawing/2014/chart" uri="{C3380CC4-5D6E-409C-BE32-E72D297353CC}">
              <c16:uniqueId val="{00000001-DB4A-4CA3-AF88-53AE291ACA75}"/>
            </c:ext>
          </c:extLst>
        </c:ser>
        <c:dLbls>
          <c:dLblPos val="t"/>
          <c:showLegendKey val="0"/>
          <c:showVal val="1"/>
          <c:showCatName val="0"/>
          <c:showSerName val="0"/>
          <c:showPercent val="0"/>
          <c:showBubbleSize val="0"/>
        </c:dLbls>
        <c:smooth val="0"/>
        <c:axId val="-955452304"/>
        <c:axId val="-955455024"/>
      </c:lineChart>
      <c:catAx>
        <c:axId val="-955452304"/>
        <c:scaling>
          <c:orientation val="minMax"/>
        </c:scaling>
        <c:delete val="0"/>
        <c:axPos val="b"/>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955455024"/>
        <c:crosses val="autoZero"/>
        <c:auto val="1"/>
        <c:lblAlgn val="ctr"/>
        <c:lblOffset val="100"/>
        <c:noMultiLvlLbl val="0"/>
      </c:catAx>
      <c:valAx>
        <c:axId val="-955455024"/>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Growth Rate in 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endParaRPr lang="en-US"/>
            </a:p>
          </c:txPr>
        </c:title>
        <c:numFmt formatCode="0.00" sourceLinked="1"/>
        <c:majorTickMark val="out"/>
        <c:minorTickMark val="out"/>
        <c:tickLblPos val="nextTo"/>
        <c:spPr>
          <a:noFill/>
          <a:ln w="3175" cap="flat" cmpd="sng" algn="ctr">
            <a:solidFill>
              <a:schemeClr val="accent1"/>
            </a:solidFill>
            <a:round/>
            <a:tailEnd type="none" w="med" len="lg"/>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95545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alpha val="98000"/>
      </a:schemeClr>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97328814910796E-2"/>
          <c:y val="5.8491285711588223E-2"/>
          <c:w val="0.90219592013023686"/>
          <c:h val="0.592673200022659"/>
        </c:manualLayout>
      </c:layout>
      <c:lineChart>
        <c:grouping val="standard"/>
        <c:varyColors val="0"/>
        <c:ser>
          <c:idx val="0"/>
          <c:order val="0"/>
          <c:tx>
            <c:strRef>
              <c:f>Graphs!$C$95</c:f>
              <c:strCache>
                <c:ptCount val="1"/>
                <c:pt idx="0">
                  <c:v>Central Transfers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2.2158209616662972E-3"/>
                  <c:y val="-2.39043824701195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7.9681274900398405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788844621513951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4316419233325945E-3"/>
                  <c:y val="-3.18725099601594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Graphs!$B$103:$B$111</c:f>
              <c:strCache>
                <c:ptCount val="9"/>
                <c:pt idx="0">
                  <c:v>2011-12</c:v>
                </c:pt>
                <c:pt idx="1">
                  <c:v>2012-13 </c:v>
                </c:pt>
                <c:pt idx="2">
                  <c:v>2013-14 </c:v>
                </c:pt>
                <c:pt idx="3">
                  <c:v>2014-15</c:v>
                </c:pt>
                <c:pt idx="4">
                  <c:v>2015-16</c:v>
                </c:pt>
                <c:pt idx="5">
                  <c:v>2016-17</c:v>
                </c:pt>
                <c:pt idx="6">
                  <c:v>2017-18</c:v>
                </c:pt>
                <c:pt idx="7">
                  <c:v>2018-19</c:v>
                </c:pt>
                <c:pt idx="8">
                  <c:v>2019-20</c:v>
                </c:pt>
              </c:strCache>
            </c:strRef>
          </c:cat>
          <c:val>
            <c:numRef>
              <c:f>Graphs!$C$103:$C$111</c:f>
              <c:numCache>
                <c:formatCode>0.00</c:formatCode>
                <c:ptCount val="9"/>
                <c:pt idx="0">
                  <c:v>27.78787554107916</c:v>
                </c:pt>
                <c:pt idx="1">
                  <c:v>27.296705189941147</c:v>
                </c:pt>
                <c:pt idx="2">
                  <c:v>32.177952915997857</c:v>
                </c:pt>
                <c:pt idx="3">
                  <c:v>22.29217377647883</c:v>
                </c:pt>
                <c:pt idx="4">
                  <c:v>16.857082320016254</c:v>
                </c:pt>
                <c:pt idx="5">
                  <c:v>18.687898459224371</c:v>
                </c:pt>
                <c:pt idx="6">
                  <c:v>17.428560620389636</c:v>
                </c:pt>
                <c:pt idx="7">
                  <c:v>16.106907723263518</c:v>
                </c:pt>
                <c:pt idx="8">
                  <c:v>9.7891383064010835</c:v>
                </c:pt>
              </c:numCache>
            </c:numRef>
          </c:val>
          <c:smooth val="1"/>
          <c:extLst xmlns:c16r2="http://schemas.microsoft.com/office/drawing/2015/06/chart">
            <c:ext xmlns:c16="http://schemas.microsoft.com/office/drawing/2014/chart" uri="{C3380CC4-5D6E-409C-BE32-E72D297353CC}">
              <c16:uniqueId val="{00000000-7083-43B3-926D-9E587AB6FCC0}"/>
            </c:ext>
          </c:extLst>
        </c:ser>
        <c:ser>
          <c:idx val="1"/>
          <c:order val="1"/>
          <c:tx>
            <c:strRef>
              <c:f>Graphs!$D$95</c:f>
              <c:strCache>
                <c:ptCount val="1"/>
                <c:pt idx="0">
                  <c:v>Tax Devolution</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Graphs!$B$103:$B$111</c:f>
              <c:strCache>
                <c:ptCount val="9"/>
                <c:pt idx="0">
                  <c:v>2011-12</c:v>
                </c:pt>
                <c:pt idx="1">
                  <c:v>2012-13 </c:v>
                </c:pt>
                <c:pt idx="2">
                  <c:v>2013-14 </c:v>
                </c:pt>
                <c:pt idx="3">
                  <c:v>2014-15</c:v>
                </c:pt>
                <c:pt idx="4">
                  <c:v>2015-16</c:v>
                </c:pt>
                <c:pt idx="5">
                  <c:v>2016-17</c:v>
                </c:pt>
                <c:pt idx="6">
                  <c:v>2017-18</c:v>
                </c:pt>
                <c:pt idx="7">
                  <c:v>2018-19</c:v>
                </c:pt>
                <c:pt idx="8">
                  <c:v>2019-20</c:v>
                </c:pt>
              </c:strCache>
            </c:strRef>
          </c:cat>
          <c:val>
            <c:numRef>
              <c:f>Graphs!$D$103:$D$111</c:f>
              <c:numCache>
                <c:formatCode>0.00</c:formatCode>
                <c:ptCount val="9"/>
                <c:pt idx="0">
                  <c:v>7.2816516426425144</c:v>
                </c:pt>
                <c:pt idx="1">
                  <c:v>7.4743713215623329</c:v>
                </c:pt>
                <c:pt idx="2">
                  <c:v>8.1607276618512561</c:v>
                </c:pt>
                <c:pt idx="3">
                  <c:v>5.5747007280063761</c:v>
                </c:pt>
                <c:pt idx="4">
                  <c:v>11.241838865453531</c:v>
                </c:pt>
                <c:pt idx="5">
                  <c:v>11.029015533546929</c:v>
                </c:pt>
                <c:pt idx="6">
                  <c:v>11.864951768488746</c:v>
                </c:pt>
                <c:pt idx="7">
                  <c:v>10.227239336759119</c:v>
                </c:pt>
                <c:pt idx="8">
                  <c:v>7.0721675734881213</c:v>
                </c:pt>
              </c:numCache>
            </c:numRef>
          </c:val>
          <c:smooth val="1"/>
          <c:extLst xmlns:c16r2="http://schemas.microsoft.com/office/drawing/2015/06/chart">
            <c:ext xmlns:c16="http://schemas.microsoft.com/office/drawing/2014/chart" uri="{C3380CC4-5D6E-409C-BE32-E72D297353CC}">
              <c16:uniqueId val="{00000001-7083-43B3-926D-9E587AB6FCC0}"/>
            </c:ext>
          </c:extLst>
        </c:ser>
        <c:ser>
          <c:idx val="2"/>
          <c:order val="2"/>
          <c:tx>
            <c:strRef>
              <c:f>Graphs!$E$95</c:f>
              <c:strCache>
                <c:ptCount val="1"/>
                <c:pt idx="0">
                  <c:v>Grants-in- Aid</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Graphs!$B$103:$B$111</c:f>
              <c:strCache>
                <c:ptCount val="9"/>
                <c:pt idx="0">
                  <c:v>2011-12</c:v>
                </c:pt>
                <c:pt idx="1">
                  <c:v>2012-13 </c:v>
                </c:pt>
                <c:pt idx="2">
                  <c:v>2013-14 </c:v>
                </c:pt>
                <c:pt idx="3">
                  <c:v>2014-15</c:v>
                </c:pt>
                <c:pt idx="4">
                  <c:v>2015-16</c:v>
                </c:pt>
                <c:pt idx="5">
                  <c:v>2016-17</c:v>
                </c:pt>
                <c:pt idx="6">
                  <c:v>2017-18</c:v>
                </c:pt>
                <c:pt idx="7">
                  <c:v>2018-19</c:v>
                </c:pt>
                <c:pt idx="8">
                  <c:v>2019-20</c:v>
                </c:pt>
              </c:strCache>
            </c:strRef>
          </c:cat>
          <c:val>
            <c:numRef>
              <c:f>Graphs!$E$103:$E$111</c:f>
              <c:numCache>
                <c:formatCode>0.00</c:formatCode>
                <c:ptCount val="9"/>
                <c:pt idx="0">
                  <c:v>20.506223898436645</c:v>
                </c:pt>
                <c:pt idx="1">
                  <c:v>19.822333868378809</c:v>
                </c:pt>
                <c:pt idx="2">
                  <c:v>24.017225254146602</c:v>
                </c:pt>
                <c:pt idx="3">
                  <c:v>16.717473048472456</c:v>
                </c:pt>
                <c:pt idx="4">
                  <c:v>5.6152434545627221</c:v>
                </c:pt>
                <c:pt idx="5">
                  <c:v>7.6588829256774433</c:v>
                </c:pt>
                <c:pt idx="6">
                  <c:v>5.5636088519008888</c:v>
                </c:pt>
                <c:pt idx="7">
                  <c:v>5.8796683865043979</c:v>
                </c:pt>
                <c:pt idx="8">
                  <c:v>2.7169707329129631</c:v>
                </c:pt>
              </c:numCache>
            </c:numRef>
          </c:val>
          <c:smooth val="1"/>
          <c:extLst xmlns:c16r2="http://schemas.microsoft.com/office/drawing/2015/06/chart">
            <c:ext xmlns:c16="http://schemas.microsoft.com/office/drawing/2014/chart" uri="{C3380CC4-5D6E-409C-BE32-E72D297353CC}">
              <c16:uniqueId val="{00000002-7083-43B3-926D-9E587AB6FCC0}"/>
            </c:ext>
          </c:extLst>
        </c:ser>
        <c:dLbls>
          <c:showLegendKey val="0"/>
          <c:showVal val="0"/>
          <c:showCatName val="0"/>
          <c:showSerName val="0"/>
          <c:showPercent val="0"/>
          <c:showBubbleSize val="0"/>
        </c:dLbls>
        <c:marker val="1"/>
        <c:smooth val="0"/>
        <c:axId val="-955448496"/>
        <c:axId val="-955461008"/>
      </c:lineChart>
      <c:catAx>
        <c:axId val="-95544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55461008"/>
        <c:crosses val="autoZero"/>
        <c:auto val="1"/>
        <c:lblAlgn val="ctr"/>
        <c:lblOffset val="100"/>
        <c:noMultiLvlLbl val="0"/>
      </c:catAx>
      <c:valAx>
        <c:axId val="-955461008"/>
        <c:scaling>
          <c:orientation val="minMax"/>
        </c:scaling>
        <c:delete val="0"/>
        <c:axPos val="l"/>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4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64071022165517"/>
          <c:y val="9.844355521133627E-2"/>
          <c:w val="0.77880558526461618"/>
          <c:h val="0.64842304547997076"/>
        </c:manualLayout>
      </c:layout>
      <c:barChart>
        <c:barDir val="col"/>
        <c:grouping val="clustered"/>
        <c:varyColors val="0"/>
        <c:ser>
          <c:idx val="0"/>
          <c:order val="0"/>
          <c:tx>
            <c:strRef>
              <c:f>Graphs!$C$3</c:f>
              <c:strCache>
                <c:ptCount val="1"/>
                <c:pt idx="0">
                  <c:v>Revenue Surplus (+) Deficit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1.236748772502510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Graphs!$B$12:$B$19</c:f>
              <c:strCache>
                <c:ptCount val="8"/>
                <c:pt idx="0">
                  <c:v>2012-13 </c:v>
                </c:pt>
                <c:pt idx="1">
                  <c:v>2013-14 </c:v>
                </c:pt>
                <c:pt idx="2">
                  <c:v>2014-15</c:v>
                </c:pt>
                <c:pt idx="3">
                  <c:v>2015-16</c:v>
                </c:pt>
                <c:pt idx="4">
                  <c:v>2016-17</c:v>
                </c:pt>
                <c:pt idx="5">
                  <c:v>2017-18</c:v>
                </c:pt>
                <c:pt idx="6">
                  <c:v>2018-19</c:v>
                </c:pt>
                <c:pt idx="7">
                  <c:v>2019-20</c:v>
                </c:pt>
              </c:strCache>
            </c:strRef>
          </c:cat>
          <c:val>
            <c:numRef>
              <c:f>Graphs!$C$12:$C$19</c:f>
              <c:numCache>
                <c:formatCode>0.00</c:formatCode>
                <c:ptCount val="8"/>
                <c:pt idx="0">
                  <c:v>8.3570947030497607</c:v>
                </c:pt>
                <c:pt idx="1">
                  <c:v>9.2935484216158297</c:v>
                </c:pt>
                <c:pt idx="2">
                  <c:v>5.0352486235795801</c:v>
                </c:pt>
                <c:pt idx="3">
                  <c:v>0.83974843689704504</c:v>
                </c:pt>
                <c:pt idx="4">
                  <c:v>4.3825187233527698</c:v>
                </c:pt>
                <c:pt idx="5">
                  <c:v>4.7778878110729899</c:v>
                </c:pt>
                <c:pt idx="6">
                  <c:v>2.78</c:v>
                </c:pt>
                <c:pt idx="7">
                  <c:v>-4.1399999953788003</c:v>
                </c:pt>
              </c:numCache>
            </c:numRef>
          </c:val>
          <c:extLst xmlns:c16r2="http://schemas.microsoft.com/office/drawing/2015/06/chart">
            <c:ext xmlns:c16="http://schemas.microsoft.com/office/drawing/2014/chart" uri="{C3380CC4-5D6E-409C-BE32-E72D297353CC}">
              <c16:uniqueId val="{00000000-212E-4E86-965F-CC4A9C7B8DE0}"/>
            </c:ext>
          </c:extLst>
        </c:ser>
        <c:ser>
          <c:idx val="1"/>
          <c:order val="1"/>
          <c:tx>
            <c:strRef>
              <c:f>Graphs!$D$3</c:f>
              <c:strCache>
                <c:ptCount val="1"/>
                <c:pt idx="0">
                  <c:v>Fiscal Surplus (+) Deficit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Graphs!$B$12:$B$19</c:f>
              <c:strCache>
                <c:ptCount val="8"/>
                <c:pt idx="0">
                  <c:v>2012-13 </c:v>
                </c:pt>
                <c:pt idx="1">
                  <c:v>2013-14 </c:v>
                </c:pt>
                <c:pt idx="2">
                  <c:v>2014-15</c:v>
                </c:pt>
                <c:pt idx="3">
                  <c:v>2015-16</c:v>
                </c:pt>
                <c:pt idx="4">
                  <c:v>2016-17</c:v>
                </c:pt>
                <c:pt idx="5">
                  <c:v>2017-18</c:v>
                </c:pt>
                <c:pt idx="6">
                  <c:v>2018-19</c:v>
                </c:pt>
                <c:pt idx="7">
                  <c:v>2019-20</c:v>
                </c:pt>
              </c:strCache>
            </c:strRef>
          </c:cat>
          <c:val>
            <c:numRef>
              <c:f>Graphs!$D$12:$D$19</c:f>
              <c:numCache>
                <c:formatCode>0.00</c:formatCode>
                <c:ptCount val="8"/>
                <c:pt idx="0">
                  <c:v>-0.70188550026752705</c:v>
                </c:pt>
                <c:pt idx="1">
                  <c:v>-0.56656393793472803</c:v>
                </c:pt>
                <c:pt idx="2">
                  <c:v>-1.8969756291100599</c:v>
                </c:pt>
                <c:pt idx="3">
                  <c:v>-3.1251768671581899</c:v>
                </c:pt>
                <c:pt idx="4">
                  <c:v>0.45999990405797497</c:v>
                </c:pt>
                <c:pt idx="5">
                  <c:v>-2.0799823466363998</c:v>
                </c:pt>
                <c:pt idx="6">
                  <c:v>-2.21</c:v>
                </c:pt>
                <c:pt idx="7">
                  <c:v>-6.4117133969247</c:v>
                </c:pt>
              </c:numCache>
            </c:numRef>
          </c:val>
          <c:extLst xmlns:c16r2="http://schemas.microsoft.com/office/drawing/2015/06/chart">
            <c:ext xmlns:c16="http://schemas.microsoft.com/office/drawing/2014/chart" uri="{C3380CC4-5D6E-409C-BE32-E72D297353CC}">
              <c16:uniqueId val="{00000001-212E-4E86-965F-CC4A9C7B8DE0}"/>
            </c:ext>
          </c:extLst>
        </c:ser>
        <c:ser>
          <c:idx val="2"/>
          <c:order val="2"/>
          <c:tx>
            <c:strRef>
              <c:f>Graphs!$E$3</c:f>
              <c:strCache>
                <c:ptCount val="1"/>
                <c:pt idx="0">
                  <c:v>Primary Surplus (+) Deficit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Graphs!$B$12:$B$19</c:f>
              <c:strCache>
                <c:ptCount val="8"/>
                <c:pt idx="0">
                  <c:v>2012-13 </c:v>
                </c:pt>
                <c:pt idx="1">
                  <c:v>2013-14 </c:v>
                </c:pt>
                <c:pt idx="2">
                  <c:v>2014-15</c:v>
                </c:pt>
                <c:pt idx="3">
                  <c:v>2015-16</c:v>
                </c:pt>
                <c:pt idx="4">
                  <c:v>2016-17</c:v>
                </c:pt>
                <c:pt idx="5">
                  <c:v>2017-18</c:v>
                </c:pt>
                <c:pt idx="6">
                  <c:v>2018-19</c:v>
                </c:pt>
                <c:pt idx="7">
                  <c:v>2019-20</c:v>
                </c:pt>
              </c:strCache>
            </c:strRef>
          </c:cat>
          <c:val>
            <c:numRef>
              <c:f>Graphs!$E$12:$E$19</c:f>
              <c:numCache>
                <c:formatCode>0.00</c:formatCode>
                <c:ptCount val="8"/>
                <c:pt idx="0">
                  <c:v>1.4267661851257301</c:v>
                </c:pt>
                <c:pt idx="1">
                  <c:v>1.8000588550026699</c:v>
                </c:pt>
                <c:pt idx="2">
                  <c:v>-0.246929099797282</c:v>
                </c:pt>
                <c:pt idx="3">
                  <c:v>-1.54990989842986</c:v>
                </c:pt>
                <c:pt idx="4">
                  <c:v>2.18905855821522</c:v>
                </c:pt>
                <c:pt idx="5">
                  <c:v>-0.448967818638705</c:v>
                </c:pt>
                <c:pt idx="6">
                  <c:v>-0.59</c:v>
                </c:pt>
                <c:pt idx="7">
                  <c:v>-4.8414963181711403</c:v>
                </c:pt>
              </c:numCache>
            </c:numRef>
          </c:val>
          <c:extLst xmlns:c16r2="http://schemas.microsoft.com/office/drawing/2015/06/chart">
            <c:ext xmlns:c16="http://schemas.microsoft.com/office/drawing/2014/chart" uri="{C3380CC4-5D6E-409C-BE32-E72D297353CC}">
              <c16:uniqueId val="{00000002-212E-4E86-965F-CC4A9C7B8DE0}"/>
            </c:ext>
          </c:extLst>
        </c:ser>
        <c:dLbls>
          <c:showLegendKey val="0"/>
          <c:showVal val="0"/>
          <c:showCatName val="0"/>
          <c:showSerName val="0"/>
          <c:showPercent val="0"/>
          <c:showBubbleSize val="0"/>
        </c:dLbls>
        <c:gapWidth val="100"/>
        <c:overlap val="-24"/>
        <c:axId val="-955460464"/>
        <c:axId val="-955453936"/>
      </c:barChart>
      <c:catAx>
        <c:axId val="-955460464"/>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955453936"/>
        <c:crosses val="autoZero"/>
        <c:auto val="1"/>
        <c:lblAlgn val="ctr"/>
        <c:lblOffset val="100"/>
        <c:noMultiLvlLbl val="0"/>
      </c:catAx>
      <c:valAx>
        <c:axId val="-95545393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r>
                  <a:rPr lang="en-IN" sz="1000" b="1"/>
                  <a:t>Percent to GSDP</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j-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955460464"/>
        <c:crosses val="autoZero"/>
        <c:crossBetween val="between"/>
      </c:valAx>
      <c:spPr>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a:gradFill flip="none" rotWithShape="1">
            <a:gsLst>
              <a:gs pos="0">
                <a:schemeClr val="accent4">
                  <a:lumMod val="40000"/>
                  <a:lumOff val="60000"/>
                </a:schemeClr>
              </a:gs>
              <a:gs pos="46000">
                <a:schemeClr val="accent4">
                  <a:lumMod val="95000"/>
                  <a:lumOff val="5000"/>
                </a:schemeClr>
              </a:gs>
              <a:gs pos="100000">
                <a:schemeClr val="accent4">
                  <a:lumMod val="60000"/>
                </a:schemeClr>
              </a:gs>
            </a:gsLst>
            <a:path path="circle">
              <a:fillToRect l="50000" t="130000" r="50000" b="-30000"/>
            </a:path>
            <a:tileRect/>
          </a:gra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j-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86276715410575"/>
          <c:y val="8.6292229338055249E-2"/>
          <c:w val="0.80455796150481185"/>
          <c:h val="0.61498432487605714"/>
        </c:manualLayout>
      </c:layout>
      <c:barChart>
        <c:barDir val="col"/>
        <c:grouping val="clustered"/>
        <c:varyColors val="0"/>
        <c:ser>
          <c:idx val="0"/>
          <c:order val="0"/>
          <c:tx>
            <c:strRef>
              <c:f>'[Chart in Microsoft Word]Graphs'!$H$3</c:f>
              <c:strCache>
                <c:ptCount val="1"/>
                <c:pt idx="0">
                  <c:v>Own Revenue</c:v>
                </c:pt>
              </c:strCache>
            </c:strRef>
          </c:tx>
          <c:spPr>
            <a:solidFill>
              <a:schemeClr val="accent1"/>
            </a:solidFill>
            <a:ln>
              <a:noFill/>
            </a:ln>
            <a:effectLst/>
          </c:spPr>
          <c:invertIfNegative val="0"/>
          <c:cat>
            <c:strRef>
              <c:f>'[Chart in Microsoft Word]Graphs'!$G$11:$G$19</c:f>
              <c:strCache>
                <c:ptCount val="9"/>
                <c:pt idx="0">
                  <c:v>2011-12</c:v>
                </c:pt>
                <c:pt idx="1">
                  <c:v>2012-13 </c:v>
                </c:pt>
                <c:pt idx="2">
                  <c:v>2013-14 </c:v>
                </c:pt>
                <c:pt idx="3">
                  <c:v>2014-15</c:v>
                </c:pt>
                <c:pt idx="4">
                  <c:v>2015-16</c:v>
                </c:pt>
                <c:pt idx="5">
                  <c:v>2016-17</c:v>
                </c:pt>
                <c:pt idx="6">
                  <c:v>2017-18</c:v>
                </c:pt>
                <c:pt idx="7">
                  <c:v>2018-19 </c:v>
                </c:pt>
                <c:pt idx="8">
                  <c:v>2019-20</c:v>
                </c:pt>
              </c:strCache>
            </c:strRef>
          </c:cat>
          <c:val>
            <c:numRef>
              <c:f>'[Chart in Microsoft Word]Graphs'!$H$11:$H$19</c:f>
              <c:numCache>
                <c:formatCode>0.00</c:formatCode>
                <c:ptCount val="9"/>
                <c:pt idx="0">
                  <c:v>6.4042914898784264</c:v>
                </c:pt>
                <c:pt idx="1">
                  <c:v>7.8917431781701435</c:v>
                </c:pt>
                <c:pt idx="2">
                  <c:v>9.4865018726591757</c:v>
                </c:pt>
                <c:pt idx="3">
                  <c:v>5.8640496826983277</c:v>
                </c:pt>
                <c:pt idx="4">
                  <c:v>5.8894215106529035</c:v>
                </c:pt>
                <c:pt idx="5">
                  <c:v>5.8855118480406237</c:v>
                </c:pt>
                <c:pt idx="6">
                  <c:v>6.0467859169391218</c:v>
                </c:pt>
                <c:pt idx="7">
                  <c:v>5.9947167141003028</c:v>
                </c:pt>
                <c:pt idx="8">
                  <c:v>5.125861190272766</c:v>
                </c:pt>
              </c:numCache>
            </c:numRef>
          </c:val>
        </c:ser>
        <c:ser>
          <c:idx val="1"/>
          <c:order val="1"/>
          <c:tx>
            <c:strRef>
              <c:f>'[Chart in Microsoft Word]Graphs'!$I$3</c:f>
              <c:strCache>
                <c:ptCount val="1"/>
                <c:pt idx="0">
                  <c:v>Central Transfers</c:v>
                </c:pt>
              </c:strCache>
            </c:strRef>
          </c:tx>
          <c:spPr>
            <a:solidFill>
              <a:schemeClr val="accent2"/>
            </a:solidFill>
            <a:ln>
              <a:noFill/>
            </a:ln>
            <a:effectLst/>
          </c:spPr>
          <c:invertIfNegative val="0"/>
          <c:cat>
            <c:strRef>
              <c:f>'[Chart in Microsoft Word]Graphs'!$G$11:$G$19</c:f>
              <c:strCache>
                <c:ptCount val="9"/>
                <c:pt idx="0">
                  <c:v>2011-12</c:v>
                </c:pt>
                <c:pt idx="1">
                  <c:v>2012-13 </c:v>
                </c:pt>
                <c:pt idx="2">
                  <c:v>2013-14 </c:v>
                </c:pt>
                <c:pt idx="3">
                  <c:v>2014-15</c:v>
                </c:pt>
                <c:pt idx="4">
                  <c:v>2015-16</c:v>
                </c:pt>
                <c:pt idx="5">
                  <c:v>2016-17</c:v>
                </c:pt>
                <c:pt idx="6">
                  <c:v>2017-18</c:v>
                </c:pt>
                <c:pt idx="7">
                  <c:v>2018-19 </c:v>
                </c:pt>
                <c:pt idx="8">
                  <c:v>2019-20</c:v>
                </c:pt>
              </c:strCache>
            </c:strRef>
          </c:cat>
          <c:val>
            <c:numRef>
              <c:f>'[Chart in Microsoft Word]Graphs'!$I$11:$I$19</c:f>
              <c:numCache>
                <c:formatCode>0.00</c:formatCode>
                <c:ptCount val="9"/>
                <c:pt idx="0">
                  <c:v>27.78787554107916</c:v>
                </c:pt>
                <c:pt idx="1">
                  <c:v>27.296705189941147</c:v>
                </c:pt>
                <c:pt idx="2">
                  <c:v>32.177952915997857</c:v>
                </c:pt>
                <c:pt idx="3">
                  <c:v>22.29217377647883</c:v>
                </c:pt>
                <c:pt idx="4">
                  <c:v>16.857082320016254</c:v>
                </c:pt>
                <c:pt idx="5">
                  <c:v>18.687898459224371</c:v>
                </c:pt>
                <c:pt idx="6">
                  <c:v>17.428560620389636</c:v>
                </c:pt>
                <c:pt idx="7">
                  <c:v>16.106907723263518</c:v>
                </c:pt>
                <c:pt idx="8">
                  <c:v>9.7891383064010835</c:v>
                </c:pt>
              </c:numCache>
            </c:numRef>
          </c:val>
        </c:ser>
        <c:ser>
          <c:idx val="2"/>
          <c:order val="2"/>
          <c:tx>
            <c:strRef>
              <c:f>'[Chart in Microsoft Word]Graphs'!$J$3</c:f>
              <c:strCache>
                <c:ptCount val="1"/>
                <c:pt idx="0">
                  <c:v>Revenue Expenditure</c:v>
                </c:pt>
              </c:strCache>
            </c:strRef>
          </c:tx>
          <c:spPr>
            <a:solidFill>
              <a:schemeClr val="accent3"/>
            </a:solidFill>
            <a:ln>
              <a:noFill/>
            </a:ln>
            <a:effectLst/>
          </c:spPr>
          <c:invertIfNegative val="0"/>
          <c:cat>
            <c:strRef>
              <c:f>'[Chart in Microsoft Word]Graphs'!$G$11:$G$19</c:f>
              <c:strCache>
                <c:ptCount val="9"/>
                <c:pt idx="0">
                  <c:v>2011-12</c:v>
                </c:pt>
                <c:pt idx="1">
                  <c:v>2012-13 </c:v>
                </c:pt>
                <c:pt idx="2">
                  <c:v>2013-14 </c:v>
                </c:pt>
                <c:pt idx="3">
                  <c:v>2014-15</c:v>
                </c:pt>
                <c:pt idx="4">
                  <c:v>2015-16</c:v>
                </c:pt>
                <c:pt idx="5">
                  <c:v>2016-17</c:v>
                </c:pt>
                <c:pt idx="6">
                  <c:v>2017-18</c:v>
                </c:pt>
                <c:pt idx="7">
                  <c:v>2018-19 </c:v>
                </c:pt>
                <c:pt idx="8">
                  <c:v>2019-20</c:v>
                </c:pt>
              </c:strCache>
            </c:strRef>
          </c:cat>
          <c:val>
            <c:numRef>
              <c:f>'[Chart in Microsoft Word]Graphs'!$J$11:$J$19</c:f>
              <c:numCache>
                <c:formatCode>0.00</c:formatCode>
                <c:ptCount val="9"/>
                <c:pt idx="0">
                  <c:v>28.92431677595394</c:v>
                </c:pt>
                <c:pt idx="1">
                  <c:v>26.831353665061535</c:v>
                </c:pt>
                <c:pt idx="2">
                  <c:v>32.370906367041194</c:v>
                </c:pt>
                <c:pt idx="3">
                  <c:v>23.120974835597575</c:v>
                </c:pt>
                <c:pt idx="4">
                  <c:v>21.906755393772112</c:v>
                </c:pt>
                <c:pt idx="5">
                  <c:v>20.190891583912226</c:v>
                </c:pt>
                <c:pt idx="6">
                  <c:v>18.697458726255771</c:v>
                </c:pt>
                <c:pt idx="7">
                  <c:v>19.511620707980708</c:v>
                </c:pt>
                <c:pt idx="8">
                  <c:v>19.054999492052644</c:v>
                </c:pt>
              </c:numCache>
            </c:numRef>
          </c:val>
        </c:ser>
        <c:ser>
          <c:idx val="3"/>
          <c:order val="3"/>
          <c:tx>
            <c:strRef>
              <c:f>'[Chart in Microsoft Word]Graphs'!$K$3</c:f>
              <c:strCache>
                <c:ptCount val="1"/>
                <c:pt idx="0">
                  <c:v>Capital Outlay</c:v>
                </c:pt>
              </c:strCache>
            </c:strRef>
          </c:tx>
          <c:spPr>
            <a:solidFill>
              <a:schemeClr val="accent4"/>
            </a:solidFill>
            <a:ln>
              <a:noFill/>
            </a:ln>
            <a:effectLst/>
          </c:spPr>
          <c:invertIfNegative val="0"/>
          <c:cat>
            <c:strRef>
              <c:f>'[Chart in Microsoft Word]Graphs'!$G$11:$G$19</c:f>
              <c:strCache>
                <c:ptCount val="9"/>
                <c:pt idx="0">
                  <c:v>2011-12</c:v>
                </c:pt>
                <c:pt idx="1">
                  <c:v>2012-13 </c:v>
                </c:pt>
                <c:pt idx="2">
                  <c:v>2013-14 </c:v>
                </c:pt>
                <c:pt idx="3">
                  <c:v>2014-15</c:v>
                </c:pt>
                <c:pt idx="4">
                  <c:v>2015-16</c:v>
                </c:pt>
                <c:pt idx="5">
                  <c:v>2016-17</c:v>
                </c:pt>
                <c:pt idx="6">
                  <c:v>2017-18</c:v>
                </c:pt>
                <c:pt idx="7">
                  <c:v>2018-19 </c:v>
                </c:pt>
                <c:pt idx="8">
                  <c:v>2019-20</c:v>
                </c:pt>
              </c:strCache>
            </c:strRef>
          </c:cat>
          <c:val>
            <c:numRef>
              <c:f>'[Chart in Microsoft Word]Graphs'!$K$11:$K$19</c:f>
              <c:numCache>
                <c:formatCode>0.00</c:formatCode>
                <c:ptCount val="9"/>
                <c:pt idx="0">
                  <c:v>7.3305713891150832</c:v>
                </c:pt>
                <c:pt idx="1">
                  <c:v>9.0138747993579464</c:v>
                </c:pt>
                <c:pt idx="2">
                  <c:v>9.7586527554842171</c:v>
                </c:pt>
                <c:pt idx="3">
                  <c:v>6.7552592588510736</c:v>
                </c:pt>
                <c:pt idx="4">
                  <c:v>3.8107302013971451</c:v>
                </c:pt>
                <c:pt idx="5">
                  <c:v>3.839212891623355</c:v>
                </c:pt>
                <c:pt idx="6">
                  <c:v>6.7856471849189841</c:v>
                </c:pt>
                <c:pt idx="7">
                  <c:v>4.8206488669679102</c:v>
                </c:pt>
                <c:pt idx="8">
                  <c:v>2.2200551171016976</c:v>
                </c:pt>
              </c:numCache>
            </c:numRef>
          </c:val>
        </c:ser>
        <c:dLbls>
          <c:showLegendKey val="0"/>
          <c:showVal val="0"/>
          <c:showCatName val="0"/>
          <c:showSerName val="0"/>
          <c:showPercent val="0"/>
          <c:showBubbleSize val="0"/>
        </c:dLbls>
        <c:gapWidth val="219"/>
        <c:overlap val="-27"/>
        <c:axId val="-955459920"/>
        <c:axId val="-955451760"/>
      </c:barChart>
      <c:catAx>
        <c:axId val="-95545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955451760"/>
        <c:crosses val="autoZero"/>
        <c:auto val="1"/>
        <c:lblAlgn val="ctr"/>
        <c:lblOffset val="100"/>
        <c:noMultiLvlLbl val="0"/>
      </c:catAx>
      <c:valAx>
        <c:axId val="-9554517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t>Percent to GSDP</a:t>
                </a:r>
              </a:p>
            </c:rich>
          </c:tx>
          <c:layout>
            <c:manualLayout>
              <c:xMode val="edge"/>
              <c:yMode val="edge"/>
              <c:x val="2.9701757296545388E-2"/>
              <c:y val="0.302832035498325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95545992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74754818556363"/>
          <c:y val="5.0774308200050772E-2"/>
          <c:w val="0.80566637174862721"/>
          <c:h val="0.7102138318011086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Word]Graphs'!$G$100:$G$108</c:f>
              <c:strCache>
                <c:ptCount val="9"/>
                <c:pt idx="0">
                  <c:v>2011-12</c:v>
                </c:pt>
                <c:pt idx="1">
                  <c:v>2012-13 </c:v>
                </c:pt>
                <c:pt idx="2">
                  <c:v>2013-14 </c:v>
                </c:pt>
                <c:pt idx="3">
                  <c:v>2014-15</c:v>
                </c:pt>
                <c:pt idx="4">
                  <c:v>2015-16</c:v>
                </c:pt>
                <c:pt idx="5">
                  <c:v>2016-17</c:v>
                </c:pt>
                <c:pt idx="6">
                  <c:v>2017-18</c:v>
                </c:pt>
                <c:pt idx="7">
                  <c:v>2018-19</c:v>
                </c:pt>
                <c:pt idx="8">
                  <c:v>2019-20</c:v>
                </c:pt>
              </c:strCache>
            </c:strRef>
          </c:cat>
          <c:val>
            <c:numRef>
              <c:f>'[Chart in Microsoft Word]Graphs'!$H$100:$H$108</c:f>
              <c:numCache>
                <c:formatCode>0</c:formatCode>
                <c:ptCount val="9"/>
                <c:pt idx="0">
                  <c:v>66490.459999999992</c:v>
                </c:pt>
                <c:pt idx="1">
                  <c:v>84656.17</c:v>
                </c:pt>
                <c:pt idx="2">
                  <c:v>92142.75</c:v>
                </c:pt>
                <c:pt idx="3">
                  <c:v>100640.16</c:v>
                </c:pt>
                <c:pt idx="4">
                  <c:v>65963.59</c:v>
                </c:pt>
                <c:pt idx="5">
                  <c:v>73591.67</c:v>
                </c:pt>
                <c:pt idx="6">
                  <c:v>152281.75</c:v>
                </c:pt>
                <c:pt idx="7">
                  <c:v>133610.98000000001</c:v>
                </c:pt>
                <c:pt idx="8">
                  <c:v>73737.709999999992</c:v>
                </c:pt>
              </c:numCache>
            </c:numRef>
          </c:val>
        </c:ser>
        <c:dLbls>
          <c:showLegendKey val="0"/>
          <c:showVal val="0"/>
          <c:showCatName val="0"/>
          <c:showSerName val="0"/>
          <c:showPercent val="0"/>
          <c:showBubbleSize val="0"/>
        </c:dLbls>
        <c:gapWidth val="150"/>
        <c:axId val="-955462096"/>
        <c:axId val="-955453392"/>
      </c:barChart>
      <c:lineChart>
        <c:grouping val="standard"/>
        <c:varyColors val="0"/>
        <c:ser>
          <c:idx val="1"/>
          <c:order val="1"/>
          <c:spPr>
            <a:ln w="28575" cap="rnd">
              <a:solidFill>
                <a:schemeClr val="accent2"/>
              </a:solidFill>
              <a:round/>
            </a:ln>
            <a:effectLst/>
          </c:spPr>
          <c:marker>
            <c:symbol val="none"/>
          </c:marker>
          <c:dLbls>
            <c:dLbl>
              <c:idx val="0"/>
              <c:layout>
                <c:manualLayout>
                  <c:x val="-3.7579857196542651E-2"/>
                  <c:y val="-4.569687738004574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2569209570336967E-2"/>
                  <c:y val="-3.554201574003554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074533383439854E-2"/>
                  <c:y val="-3.04645849200304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053238131028436E-3"/>
                  <c:y val="2.538715410002538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Word]Graphs'!$G$100:$G$108</c:f>
              <c:strCache>
                <c:ptCount val="9"/>
                <c:pt idx="0">
                  <c:v>2011-12</c:v>
                </c:pt>
                <c:pt idx="1">
                  <c:v>2012-13 </c:v>
                </c:pt>
                <c:pt idx="2">
                  <c:v>2013-14 </c:v>
                </c:pt>
                <c:pt idx="3">
                  <c:v>2014-15</c:v>
                </c:pt>
                <c:pt idx="4">
                  <c:v>2015-16</c:v>
                </c:pt>
                <c:pt idx="5">
                  <c:v>2016-17</c:v>
                </c:pt>
                <c:pt idx="6">
                  <c:v>2017-18</c:v>
                </c:pt>
                <c:pt idx="7">
                  <c:v>2018-19</c:v>
                </c:pt>
                <c:pt idx="8">
                  <c:v>2019-20</c:v>
                </c:pt>
              </c:strCache>
            </c:strRef>
          </c:cat>
          <c:val>
            <c:numRef>
              <c:f>'[Chart in Microsoft Word]Graphs'!$I$100:$I$108</c:f>
              <c:numCache>
                <c:formatCode>0.00</c:formatCode>
                <c:ptCount val="9"/>
                <c:pt idx="0">
                  <c:v>7.9156440330099942</c:v>
                </c:pt>
                <c:pt idx="1">
                  <c:v>9.058980203317283</c:v>
                </c:pt>
                <c:pt idx="2">
                  <c:v>9.8601123595505609</c:v>
                </c:pt>
                <c:pt idx="3">
                  <c:v>6.9322242526896423</c:v>
                </c:pt>
                <c:pt idx="4">
                  <c:v>3.9649253040552312</c:v>
                </c:pt>
                <c:pt idx="5">
                  <c:v>3.9225188192947944</c:v>
                </c:pt>
                <c:pt idx="6">
                  <c:v>6.8578701577093861</c:v>
                </c:pt>
                <c:pt idx="7">
                  <c:v>4.9879031077454696</c:v>
                </c:pt>
                <c:pt idx="8">
                  <c:v>2.2717134015459002</c:v>
                </c:pt>
              </c:numCache>
            </c:numRef>
          </c:val>
          <c:smooth val="0"/>
        </c:ser>
        <c:dLbls>
          <c:showLegendKey val="0"/>
          <c:showVal val="0"/>
          <c:showCatName val="0"/>
          <c:showSerName val="0"/>
          <c:showPercent val="0"/>
          <c:showBubbleSize val="0"/>
        </c:dLbls>
        <c:marker val="1"/>
        <c:smooth val="0"/>
        <c:axId val="-955449584"/>
        <c:axId val="-955451216"/>
      </c:lineChart>
      <c:catAx>
        <c:axId val="-95546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53392"/>
        <c:crosses val="autoZero"/>
        <c:auto val="1"/>
        <c:lblAlgn val="ctr"/>
        <c:lblOffset val="100"/>
        <c:noMultiLvlLbl val="0"/>
      </c:catAx>
      <c:valAx>
        <c:axId val="-9554533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62096"/>
        <c:crosses val="autoZero"/>
        <c:crossBetween val="between"/>
      </c:valAx>
      <c:valAx>
        <c:axId val="-955451216"/>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49584"/>
        <c:crosses val="max"/>
        <c:crossBetween val="between"/>
      </c:valAx>
      <c:catAx>
        <c:axId val="-955449584"/>
        <c:scaling>
          <c:orientation val="minMax"/>
        </c:scaling>
        <c:delete val="1"/>
        <c:axPos val="b"/>
        <c:numFmt formatCode="General" sourceLinked="1"/>
        <c:majorTickMark val="none"/>
        <c:minorTickMark val="none"/>
        <c:tickLblPos val="nextTo"/>
        <c:crossAx val="-9554512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Microsoft Word]Graphs'!$C$128</c:f>
              <c:strCache>
                <c:ptCount val="1"/>
                <c:pt idx="0">
                  <c:v>Own Tax Revenue (Rs.Lakh)</c:v>
                </c:pt>
              </c:strCache>
            </c:strRef>
          </c:tx>
          <c:spPr>
            <a:solidFill>
              <a:schemeClr val="accent1"/>
            </a:solidFill>
            <a:ln>
              <a:noFill/>
            </a:ln>
            <a:effectLst/>
          </c:spPr>
          <c:invertIfNegative val="0"/>
          <c:cat>
            <c:strRef>
              <c:f>'[Chart in Microsoft Word]Graphs'!$B$129:$B$137</c:f>
              <c:strCache>
                <c:ptCount val="9"/>
                <c:pt idx="0">
                  <c:v>2011-12</c:v>
                </c:pt>
                <c:pt idx="1">
                  <c:v>2012-13 </c:v>
                </c:pt>
                <c:pt idx="2">
                  <c:v>2013-14 </c:v>
                </c:pt>
                <c:pt idx="3">
                  <c:v>2014-15</c:v>
                </c:pt>
                <c:pt idx="4">
                  <c:v>2015-16</c:v>
                </c:pt>
                <c:pt idx="5">
                  <c:v>2016-17</c:v>
                </c:pt>
                <c:pt idx="6">
                  <c:v>2017-18</c:v>
                </c:pt>
                <c:pt idx="7">
                  <c:v>2018-19</c:v>
                </c:pt>
                <c:pt idx="8">
                  <c:v>2019-20</c:v>
                </c:pt>
              </c:strCache>
            </c:strRef>
          </c:cat>
          <c:val>
            <c:numRef>
              <c:f>'[Chart in Microsoft Word]Graphs'!$C$129:$C$137</c:f>
              <c:numCache>
                <c:formatCode>0</c:formatCode>
                <c:ptCount val="9"/>
                <c:pt idx="0">
                  <c:v>29391.520000000004</c:v>
                </c:pt>
                <c:pt idx="1">
                  <c:v>43547.979999999996</c:v>
                </c:pt>
                <c:pt idx="2">
                  <c:v>52491.97</c:v>
                </c:pt>
                <c:pt idx="3">
                  <c:v>52755.09</c:v>
                </c:pt>
                <c:pt idx="4">
                  <c:v>56681.58</c:v>
                </c:pt>
                <c:pt idx="5">
                  <c:v>65256.38</c:v>
                </c:pt>
                <c:pt idx="6">
                  <c:v>68833.3</c:v>
                </c:pt>
                <c:pt idx="7">
                  <c:v>94802.4</c:v>
                </c:pt>
                <c:pt idx="8">
                  <c:v>97040.47</c:v>
                </c:pt>
              </c:numCache>
            </c:numRef>
          </c:val>
        </c:ser>
        <c:dLbls>
          <c:showLegendKey val="0"/>
          <c:showVal val="0"/>
          <c:showCatName val="0"/>
          <c:showSerName val="0"/>
          <c:showPercent val="0"/>
          <c:showBubbleSize val="0"/>
        </c:dLbls>
        <c:gapWidth val="150"/>
        <c:axId val="-955452848"/>
        <c:axId val="-955450672"/>
      </c:barChart>
      <c:lineChart>
        <c:grouping val="standard"/>
        <c:varyColors val="0"/>
        <c:ser>
          <c:idx val="1"/>
          <c:order val="1"/>
          <c:tx>
            <c:strRef>
              <c:f>'[Chart in Microsoft Word]Graphs'!$D$128</c:f>
              <c:strCache>
                <c:ptCount val="1"/>
                <c:pt idx="0">
                  <c:v>Own Tax Revenue % to GSDP</c:v>
                </c:pt>
              </c:strCache>
            </c:strRef>
          </c:tx>
          <c:spPr>
            <a:ln w="28575" cap="rnd">
              <a:solidFill>
                <a:schemeClr val="accent2"/>
              </a:solidFill>
              <a:round/>
            </a:ln>
            <a:effectLst/>
          </c:spPr>
          <c:marker>
            <c:symbol val="none"/>
          </c:marker>
          <c:cat>
            <c:strRef>
              <c:f>'[Chart in Microsoft Word]Graphs'!$B$129:$B$136</c:f>
              <c:strCache>
                <c:ptCount val="8"/>
                <c:pt idx="0">
                  <c:v>2011-12</c:v>
                </c:pt>
                <c:pt idx="1">
                  <c:v>2012-13 </c:v>
                </c:pt>
                <c:pt idx="2">
                  <c:v>2013-14 </c:v>
                </c:pt>
                <c:pt idx="3">
                  <c:v>2014-15</c:v>
                </c:pt>
                <c:pt idx="4">
                  <c:v>2015-16</c:v>
                </c:pt>
                <c:pt idx="5">
                  <c:v>2016-17</c:v>
                </c:pt>
                <c:pt idx="6">
                  <c:v>2017-18</c:v>
                </c:pt>
                <c:pt idx="7">
                  <c:v>2018-19</c:v>
                </c:pt>
              </c:strCache>
            </c:strRef>
          </c:cat>
          <c:val>
            <c:numRef>
              <c:f>'[Chart in Microsoft Word]Graphs'!$D$129:$D$137</c:f>
              <c:numCache>
                <c:formatCode>0.0</c:formatCode>
                <c:ptCount val="9"/>
                <c:pt idx="0">
                  <c:v>3.4990404624827978</c:v>
                </c:pt>
                <c:pt idx="1">
                  <c:v>4.6600299625468162</c:v>
                </c:pt>
                <c:pt idx="2">
                  <c:v>5.6171182450508299</c:v>
                </c:pt>
                <c:pt idx="3">
                  <c:v>3.6338387612939482</c:v>
                </c:pt>
                <c:pt idx="4">
                  <c:v>3.4070042400031739</c:v>
                </c:pt>
                <c:pt idx="5">
                  <c:v>3.4782384830926167</c:v>
                </c:pt>
                <c:pt idx="6">
                  <c:v>3.0998450827276249</c:v>
                </c:pt>
                <c:pt idx="7">
                  <c:v>3.5391192069823081</c:v>
                </c:pt>
                <c:pt idx="8">
                  <c:v>2.9896254737408161</c:v>
                </c:pt>
              </c:numCache>
            </c:numRef>
          </c:val>
          <c:smooth val="1"/>
        </c:ser>
        <c:dLbls>
          <c:showLegendKey val="0"/>
          <c:showVal val="0"/>
          <c:showCatName val="0"/>
          <c:showSerName val="0"/>
          <c:showPercent val="0"/>
          <c:showBubbleSize val="0"/>
        </c:dLbls>
        <c:marker val="1"/>
        <c:smooth val="0"/>
        <c:axId val="-955449040"/>
        <c:axId val="-955450128"/>
      </c:lineChart>
      <c:catAx>
        <c:axId val="-95545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50672"/>
        <c:crosses val="autoZero"/>
        <c:auto val="1"/>
        <c:lblAlgn val="ctr"/>
        <c:lblOffset val="100"/>
        <c:noMultiLvlLbl val="0"/>
      </c:catAx>
      <c:valAx>
        <c:axId val="-955450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52848"/>
        <c:crosses val="autoZero"/>
        <c:crossBetween val="between"/>
      </c:valAx>
      <c:valAx>
        <c:axId val="-955450128"/>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449040"/>
        <c:crosses val="max"/>
        <c:crossBetween val="between"/>
      </c:valAx>
      <c:catAx>
        <c:axId val="-955449040"/>
        <c:scaling>
          <c:orientation val="minMax"/>
        </c:scaling>
        <c:delete val="1"/>
        <c:axPos val="b"/>
        <c:numFmt formatCode="General" sourceLinked="1"/>
        <c:majorTickMark val="none"/>
        <c:minorTickMark val="none"/>
        <c:tickLblPos val="nextTo"/>
        <c:crossAx val="-9554501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E9EDE-B416-4469-B20E-830E4293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45</Pages>
  <Words>13517</Words>
  <Characters>77052</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16</cp:revision>
  <cp:lastPrinted>2022-05-09T06:34:00Z</cp:lastPrinted>
  <dcterms:created xsi:type="dcterms:W3CDTF">2022-10-21T06:30:00Z</dcterms:created>
  <dcterms:modified xsi:type="dcterms:W3CDTF">2022-10-21T11:23:00Z</dcterms:modified>
</cp:coreProperties>
</file>